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5633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53B2E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B712A4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13.030.</w:t>
            </w:r>
            <w:r>
              <w:rPr>
                <w:rFonts w:hint="eastAsia" w:ascii="黑体" w:hAnsi="黑体" w:eastAsia="黑体"/>
                <w:sz w:val="21"/>
                <w:szCs w:val="21"/>
              </w:rPr>
              <w:t>01</w:t>
            </w:r>
            <w:r>
              <w:rPr>
                <w:rFonts w:ascii="黑体" w:hAnsi="黑体" w:eastAsia="黑体"/>
                <w:sz w:val="21"/>
                <w:szCs w:val="21"/>
              </w:rPr>
              <w:t xml:space="preserve"> </w:t>
            </w:r>
            <w:r>
              <w:rPr>
                <w:rFonts w:ascii="黑体" w:hAnsi="黑体" w:eastAsia="黑体"/>
                <w:sz w:val="21"/>
                <w:szCs w:val="21"/>
              </w:rPr>
              <w:fldChar w:fldCharType="end"/>
            </w:r>
            <w:bookmarkEnd w:id="0"/>
          </w:p>
        </w:tc>
      </w:tr>
      <w:tr w14:paraId="4D87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EC014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3F2D15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06D64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A3DEBE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42</w:t>
            </w:r>
            <w:r>
              <w:fldChar w:fldCharType="end"/>
            </w:r>
            <w:bookmarkEnd w:id="3"/>
          </w:p>
        </w:tc>
      </w:tr>
    </w:tbl>
    <w:p w14:paraId="774FE0B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25504C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E64E9F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688CBD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B1405D">
      <w:pPr>
        <w:pStyle w:val="50"/>
        <w:framePr w:w="9639" w:h="6976" w:hRule="exact" w:hSpace="0" w:vSpace="0" w:wrap="around" w:hAnchor="page" w:y="6408"/>
        <w:jc w:val="center"/>
        <w:rPr>
          <w:rFonts w:ascii="黑体" w:hAnsi="黑体" w:eastAsia="黑体"/>
          <w:b w:val="0"/>
          <w:bCs w:val="0"/>
          <w:w w:val="100"/>
        </w:rPr>
      </w:pPr>
    </w:p>
    <w:p w14:paraId="295120E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危险废物利用处置</w:t>
      </w:r>
      <w:r>
        <w:rPr>
          <w:rFonts w:hint="eastAsia"/>
        </w:rPr>
        <w:t>污染控制</w:t>
      </w:r>
      <w:r>
        <w:t xml:space="preserve">技术规范 </w:t>
      </w:r>
    </w:p>
    <w:p w14:paraId="717B8CEB">
      <w:pPr>
        <w:pStyle w:val="197"/>
        <w:framePr w:h="6974" w:hRule="exact" w:wrap="around" w:x="1419" w:anchorLock="1"/>
      </w:pPr>
      <w:r>
        <w:rPr>
          <w:rFonts w:hint="eastAsia"/>
        </w:rPr>
        <w:t>第1部分:</w:t>
      </w:r>
      <w:r>
        <w:t>通则</w:t>
      </w:r>
      <w:r>
        <w:fldChar w:fldCharType="end"/>
      </w:r>
      <w:bookmarkEnd w:id="9"/>
    </w:p>
    <w:p w14:paraId="79E7B1D9">
      <w:pPr>
        <w:framePr w:w="9639" w:h="6974" w:hRule="exact" w:wrap="around" w:vAnchor="page" w:hAnchor="page" w:x="1419" w:y="6408" w:anchorLock="1"/>
        <w:ind w:left="-1418"/>
      </w:pPr>
    </w:p>
    <w:p w14:paraId="75A50FC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w:t>
      </w:r>
      <w:r>
        <w:rPr>
          <w:rFonts w:hint="eastAsia" w:eastAsia="黑体"/>
          <w:szCs w:val="28"/>
        </w:rPr>
        <w:t>s</w:t>
      </w:r>
      <w:r>
        <w:rPr>
          <w:rFonts w:eastAsia="黑体"/>
          <w:szCs w:val="28"/>
        </w:rPr>
        <w:t xml:space="preserve"> for Pollution Control of Hazardous Waste Utilization and Disposal </w:t>
      </w:r>
    </w:p>
    <w:p w14:paraId="2F7696DC">
      <w:pPr>
        <w:pStyle w:val="125"/>
        <w:framePr w:w="9639" w:h="6974" w:hRule="exact" w:wrap="around" w:vAnchor="page" w:hAnchor="page" w:x="1419" w:y="6408" w:anchorLock="1"/>
        <w:textAlignment w:val="bottom"/>
        <w:rPr>
          <w:rFonts w:eastAsia="黑体"/>
          <w:szCs w:val="28"/>
        </w:rPr>
      </w:pPr>
      <w:r>
        <w:rPr>
          <w:rFonts w:eastAsia="黑体"/>
          <w:szCs w:val="28"/>
        </w:rPr>
        <w:t>Part 1  General rules</w:t>
      </w:r>
      <w:r>
        <w:rPr>
          <w:rFonts w:eastAsia="黑体"/>
          <w:szCs w:val="28"/>
        </w:rPr>
        <w:fldChar w:fldCharType="end"/>
      </w:r>
      <w:bookmarkEnd w:id="10"/>
    </w:p>
    <w:p w14:paraId="7DA8BBD1">
      <w:pPr>
        <w:framePr w:w="9639" w:h="6974" w:hRule="exact" w:wrap="around" w:vAnchor="page" w:hAnchor="page" w:x="1419" w:y="6408" w:anchorLock="1"/>
        <w:spacing w:line="760" w:lineRule="exact"/>
        <w:ind w:left="-1418"/>
      </w:pPr>
    </w:p>
    <w:p w14:paraId="7D6CDC10">
      <w:pPr>
        <w:pStyle w:val="125"/>
        <w:framePr w:w="9639" w:h="6974" w:hRule="exact" w:wrap="around" w:vAnchor="page" w:hAnchor="page" w:x="1419" w:y="6408" w:anchorLock="1"/>
        <w:textAlignment w:val="bottom"/>
        <w:rPr>
          <w:rFonts w:eastAsia="黑体"/>
          <w:szCs w:val="28"/>
        </w:rPr>
      </w:pPr>
    </w:p>
    <w:p w14:paraId="607B6CF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BF874E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15F179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74BCE0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C3A1BC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CFE0D8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4C06D9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EE3C207">
      <w:pPr>
        <w:pStyle w:val="91"/>
        <w:spacing w:after="468"/>
      </w:pPr>
      <w:bookmarkStart w:id="21" w:name="BookMark1"/>
      <w:r>
        <w:rPr>
          <w:rFonts w:hint="eastAsia"/>
          <w:spacing w:val="320"/>
        </w:rPr>
        <w:t>目</w:t>
      </w:r>
      <w:r>
        <w:rPr>
          <w:rFonts w:hint="eastAsia"/>
        </w:rPr>
        <w:t>次</w:t>
      </w:r>
    </w:p>
    <w:p w14:paraId="22D276A9">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"_Toc162950389" </w:instrText>
      </w:r>
      <w:r>
        <w:fldChar w:fldCharType="separate"/>
      </w:r>
      <w:r>
        <w:rPr>
          <w:rStyle w:val="32"/>
        </w:rPr>
        <w:t>前言</w:t>
      </w:r>
      <w:r>
        <w:tab/>
      </w:r>
      <w:r>
        <w:fldChar w:fldCharType="begin"/>
      </w:r>
      <w:r>
        <w:instrText xml:space="preserve"> PAGEREF _Toc162950389 \h </w:instrText>
      </w:r>
      <w:r>
        <w:fldChar w:fldCharType="separate"/>
      </w:r>
      <w:r>
        <w:t>II</w:t>
      </w:r>
      <w:r>
        <w:fldChar w:fldCharType="end"/>
      </w:r>
      <w:r>
        <w:fldChar w:fldCharType="end"/>
      </w:r>
    </w:p>
    <w:p w14:paraId="1D6DDC81">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"_Toc162950390" </w:instrText>
      </w:r>
      <w:r>
        <w:fldChar w:fldCharType="separate"/>
      </w:r>
      <w:r>
        <w:rPr>
          <w:rStyle w:val="32"/>
        </w:rPr>
        <w:t>1  范围</w:t>
      </w:r>
      <w:r>
        <w:tab/>
      </w:r>
      <w:r>
        <w:fldChar w:fldCharType="begin"/>
      </w:r>
      <w:r>
        <w:instrText xml:space="preserve"> PAGEREF _Toc162950390 \h </w:instrText>
      </w:r>
      <w:r>
        <w:fldChar w:fldCharType="separate"/>
      </w:r>
      <w:r>
        <w:t>1</w:t>
      </w:r>
      <w:r>
        <w:fldChar w:fldCharType="end"/>
      </w:r>
      <w:r>
        <w:fldChar w:fldCharType="end"/>
      </w:r>
    </w:p>
    <w:p w14:paraId="762EE88B">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"_Toc162950391" </w:instrText>
      </w:r>
      <w:r>
        <w:fldChar w:fldCharType="separate"/>
      </w:r>
      <w:r>
        <w:rPr>
          <w:rStyle w:val="32"/>
        </w:rPr>
        <w:t>2  规范性引用文件</w:t>
      </w:r>
      <w:r>
        <w:tab/>
      </w:r>
      <w:r>
        <w:fldChar w:fldCharType="begin"/>
      </w:r>
      <w:r>
        <w:instrText xml:space="preserve"> PAGEREF _Toc162950391 \h </w:instrText>
      </w:r>
      <w:r>
        <w:fldChar w:fldCharType="separate"/>
      </w:r>
      <w:r>
        <w:t>1</w:t>
      </w:r>
      <w:r>
        <w:fldChar w:fldCharType="end"/>
      </w:r>
      <w:r>
        <w:fldChar w:fldCharType="end"/>
      </w:r>
    </w:p>
    <w:p w14:paraId="6FC1C0B1">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"_Toc162950392" </w:instrText>
      </w:r>
      <w:r>
        <w:fldChar w:fldCharType="separate"/>
      </w:r>
      <w:r>
        <w:rPr>
          <w:rStyle w:val="32"/>
        </w:rPr>
        <w:t>3  术语和定义</w:t>
      </w:r>
      <w:r>
        <w:tab/>
      </w:r>
      <w:r>
        <w:fldChar w:fldCharType="begin"/>
      </w:r>
      <w:r>
        <w:instrText xml:space="preserve"> PAGEREF _Toc162950392 \h </w:instrText>
      </w:r>
      <w:r>
        <w:fldChar w:fldCharType="separate"/>
      </w:r>
      <w:r>
        <w:t>1</w:t>
      </w:r>
      <w:r>
        <w:fldChar w:fldCharType="end"/>
      </w:r>
      <w:r>
        <w:fldChar w:fldCharType="end"/>
      </w:r>
    </w:p>
    <w:p w14:paraId="7FA0DB4F">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"_Toc162950393" </w:instrText>
      </w:r>
      <w:r>
        <w:fldChar w:fldCharType="separate"/>
      </w:r>
      <w:r>
        <w:rPr>
          <w:rStyle w:val="32"/>
        </w:rPr>
        <w:t>4  总体要求</w:t>
      </w:r>
      <w:r>
        <w:tab/>
      </w:r>
      <w:r>
        <w:fldChar w:fldCharType="begin"/>
      </w:r>
      <w:r>
        <w:instrText xml:space="preserve"> PAGEREF _Toc162950393 \h </w:instrText>
      </w:r>
      <w:r>
        <w:fldChar w:fldCharType="separate"/>
      </w:r>
      <w:r>
        <w:t>2</w:t>
      </w:r>
      <w:r>
        <w:fldChar w:fldCharType="end"/>
      </w:r>
      <w:r>
        <w:fldChar w:fldCharType="end"/>
      </w:r>
    </w:p>
    <w:p w14:paraId="3F4F5F27">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"_Toc162950394" </w:instrText>
      </w:r>
      <w:r>
        <w:fldChar w:fldCharType="separate"/>
      </w:r>
      <w:r>
        <w:rPr>
          <w:rStyle w:val="32"/>
        </w:rPr>
        <w:t>5  入场分析</w:t>
      </w:r>
      <w:r>
        <w:tab/>
      </w:r>
      <w:r>
        <w:fldChar w:fldCharType="begin"/>
      </w:r>
      <w:r>
        <w:instrText xml:space="preserve"> PAGEREF _Toc162950394 \h </w:instrText>
      </w:r>
      <w:r>
        <w:fldChar w:fldCharType="separate"/>
      </w:r>
      <w:r>
        <w:t>3</w:t>
      </w:r>
      <w:r>
        <w:fldChar w:fldCharType="end"/>
      </w:r>
      <w:r>
        <w:fldChar w:fldCharType="end"/>
      </w:r>
    </w:p>
    <w:p w14:paraId="56116049">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"_Toc162950395" </w:instrText>
      </w:r>
      <w:r>
        <w:fldChar w:fldCharType="separate"/>
      </w:r>
      <w:r>
        <w:rPr>
          <w:rStyle w:val="32"/>
        </w:rPr>
        <w:t>6  贮存</w:t>
      </w:r>
      <w:r>
        <w:tab/>
      </w:r>
      <w:r>
        <w:fldChar w:fldCharType="begin"/>
      </w:r>
      <w:r>
        <w:instrText xml:space="preserve"> PAGEREF _Toc162950395 \h </w:instrText>
      </w:r>
      <w:r>
        <w:fldChar w:fldCharType="separate"/>
      </w:r>
      <w:r>
        <w:t>3</w:t>
      </w:r>
      <w:r>
        <w:fldChar w:fldCharType="end"/>
      </w:r>
      <w:r>
        <w:fldChar w:fldCharType="end"/>
      </w:r>
    </w:p>
    <w:p w14:paraId="561E12D6">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"_Toc162950396" </w:instrText>
      </w:r>
      <w:r>
        <w:fldChar w:fldCharType="separate"/>
      </w:r>
      <w:r>
        <w:rPr>
          <w:rStyle w:val="32"/>
        </w:rPr>
        <w:t>7  物化处理</w:t>
      </w:r>
      <w:r>
        <w:tab/>
      </w:r>
      <w:r>
        <w:fldChar w:fldCharType="begin"/>
      </w:r>
      <w:r>
        <w:instrText xml:space="preserve"> PAGEREF _Toc162950396 \h </w:instrText>
      </w:r>
      <w:r>
        <w:fldChar w:fldCharType="separate"/>
      </w:r>
      <w:r>
        <w:t>3</w:t>
      </w:r>
      <w:r>
        <w:fldChar w:fldCharType="end"/>
      </w:r>
      <w:r>
        <w:fldChar w:fldCharType="end"/>
      </w:r>
    </w:p>
    <w:p w14:paraId="30488C22">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"_Toc162950397" </w:instrText>
      </w:r>
      <w:r>
        <w:fldChar w:fldCharType="separate"/>
      </w:r>
      <w:r>
        <w:rPr>
          <w:rStyle w:val="32"/>
        </w:rPr>
        <w:t>8  综合利用</w:t>
      </w:r>
      <w:r>
        <w:tab/>
      </w:r>
      <w:r>
        <w:fldChar w:fldCharType="begin"/>
      </w:r>
      <w:r>
        <w:instrText xml:space="preserve"> PAGEREF _Toc162950397 \h </w:instrText>
      </w:r>
      <w:r>
        <w:fldChar w:fldCharType="separate"/>
      </w:r>
      <w:r>
        <w:t>4</w:t>
      </w:r>
      <w:r>
        <w:fldChar w:fldCharType="end"/>
      </w:r>
      <w:r>
        <w:fldChar w:fldCharType="end"/>
      </w:r>
    </w:p>
    <w:p w14:paraId="0CCBB283">
      <w:pPr>
        <w:pStyle w:val="24"/>
        <w:rPr>
          <w:rFonts w:asciiTheme="minorHAnsi" w:hAnsiTheme="minorHAnsi" w:eastAsiaTheme="minorEastAsia" w:cstheme="minorBidi"/>
          <w:szCs w:val="22"/>
        </w:rPr>
      </w:pPr>
      <w:r>
        <w:fldChar w:fldCharType="begin"/>
      </w:r>
      <w:r>
        <w:instrText xml:space="preserve"> HYPERLINK \l "_Toc162950398" </w:instrText>
      </w:r>
      <w:r>
        <w:fldChar w:fldCharType="separate"/>
      </w:r>
      <w:r>
        <w:rPr>
          <w:rStyle w:val="32"/>
          <w14:scene3d>
            <w14:lightRig w14:rig="threePt" w14:dir="t">
              <w14:rot w14:lat="0" w14:lon="0" w14:rev="0"/>
            </w14:lightRig>
          </w14:scene3d>
        </w:rPr>
        <w:t xml:space="preserve">8.1 </w:t>
      </w:r>
      <w:r>
        <w:rPr>
          <w:rStyle w:val="32"/>
        </w:rPr>
        <w:t xml:space="preserve"> 一般要求</w:t>
      </w:r>
      <w:r>
        <w:tab/>
      </w:r>
      <w:r>
        <w:fldChar w:fldCharType="begin"/>
      </w:r>
      <w:r>
        <w:instrText xml:space="preserve"> PAGEREF _Toc162950398 \h </w:instrText>
      </w:r>
      <w:r>
        <w:fldChar w:fldCharType="separate"/>
      </w:r>
      <w:r>
        <w:t>4</w:t>
      </w:r>
      <w:r>
        <w:fldChar w:fldCharType="end"/>
      </w:r>
      <w:r>
        <w:fldChar w:fldCharType="end"/>
      </w:r>
    </w:p>
    <w:p w14:paraId="05E8C78B">
      <w:pPr>
        <w:pStyle w:val="24"/>
        <w:rPr>
          <w:rFonts w:asciiTheme="minorHAnsi" w:hAnsiTheme="minorHAnsi" w:eastAsiaTheme="minorEastAsia" w:cstheme="minorBidi"/>
          <w:szCs w:val="22"/>
        </w:rPr>
      </w:pPr>
      <w:r>
        <w:fldChar w:fldCharType="begin"/>
      </w:r>
      <w:r>
        <w:instrText xml:space="preserve"> HYPERLINK \l "_Toc162950399" </w:instrText>
      </w:r>
      <w:r>
        <w:fldChar w:fldCharType="separate"/>
      </w:r>
      <w:r>
        <w:rPr>
          <w:rStyle w:val="32"/>
          <w14:scene3d>
            <w14:lightRig w14:rig="threePt" w14:dir="t">
              <w14:rot w14:lat="0" w14:lon="0" w14:rev="0"/>
            </w14:lightRig>
          </w14:scene3d>
        </w:rPr>
        <w:t xml:space="preserve">8.2 </w:t>
      </w:r>
      <w:r>
        <w:rPr>
          <w:rStyle w:val="32"/>
        </w:rPr>
        <w:t xml:space="preserve"> 综合利用产物要求</w:t>
      </w:r>
      <w:r>
        <w:tab/>
      </w:r>
      <w:r>
        <w:fldChar w:fldCharType="begin"/>
      </w:r>
      <w:r>
        <w:instrText xml:space="preserve"> PAGEREF _Toc162950399 \h </w:instrText>
      </w:r>
      <w:r>
        <w:fldChar w:fldCharType="separate"/>
      </w:r>
      <w:r>
        <w:t>4</w:t>
      </w:r>
      <w:r>
        <w:fldChar w:fldCharType="end"/>
      </w:r>
      <w:r>
        <w:fldChar w:fldCharType="end"/>
      </w:r>
    </w:p>
    <w:p w14:paraId="642EC632">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"_Toc162950400" </w:instrText>
      </w:r>
      <w:r>
        <w:fldChar w:fldCharType="separate"/>
      </w:r>
      <w:r>
        <w:rPr>
          <w:rStyle w:val="32"/>
        </w:rPr>
        <w:t>9  焚烧</w:t>
      </w:r>
      <w:r>
        <w:tab/>
      </w:r>
      <w:r>
        <w:fldChar w:fldCharType="begin"/>
      </w:r>
      <w:r>
        <w:instrText xml:space="preserve"> PAGEREF _Toc162950400 \h </w:instrText>
      </w:r>
      <w:r>
        <w:fldChar w:fldCharType="separate"/>
      </w:r>
      <w:r>
        <w:t>4</w:t>
      </w:r>
      <w:r>
        <w:fldChar w:fldCharType="end"/>
      </w:r>
      <w:r>
        <w:fldChar w:fldCharType="end"/>
      </w:r>
    </w:p>
    <w:p w14:paraId="1B386A54">
      <w:pPr>
        <w:pStyle w:val="24"/>
        <w:rPr>
          <w:rFonts w:asciiTheme="minorHAnsi" w:hAnsiTheme="minorHAnsi" w:eastAsiaTheme="minorEastAsia" w:cstheme="minorBidi"/>
          <w:szCs w:val="22"/>
        </w:rPr>
      </w:pPr>
      <w:r>
        <w:fldChar w:fldCharType="begin"/>
      </w:r>
      <w:r>
        <w:instrText xml:space="preserve"> HYPERLINK \l "_Toc162950401" </w:instrText>
      </w:r>
      <w:r>
        <w:fldChar w:fldCharType="separate"/>
      </w:r>
      <w:r>
        <w:rPr>
          <w:rStyle w:val="32"/>
          <w14:scene3d>
            <w14:lightRig w14:rig="threePt" w14:dir="t">
              <w14:rot w14:lat="0" w14:lon="0" w14:rev="0"/>
            </w14:lightRig>
          </w14:scene3d>
        </w:rPr>
        <w:t xml:space="preserve">9.1 </w:t>
      </w:r>
      <w:r>
        <w:rPr>
          <w:rStyle w:val="32"/>
        </w:rPr>
        <w:t xml:space="preserve"> 进料要求</w:t>
      </w:r>
      <w:r>
        <w:tab/>
      </w:r>
      <w:r>
        <w:fldChar w:fldCharType="begin"/>
      </w:r>
      <w:r>
        <w:instrText xml:space="preserve"> PAGEREF _Toc162950401 \h </w:instrText>
      </w:r>
      <w:r>
        <w:fldChar w:fldCharType="separate"/>
      </w:r>
      <w:r>
        <w:t>4</w:t>
      </w:r>
      <w:r>
        <w:fldChar w:fldCharType="end"/>
      </w:r>
      <w:r>
        <w:fldChar w:fldCharType="end"/>
      </w:r>
    </w:p>
    <w:p w14:paraId="484E3F4D">
      <w:pPr>
        <w:pStyle w:val="24"/>
        <w:rPr>
          <w:rFonts w:asciiTheme="minorHAnsi" w:hAnsiTheme="minorHAnsi" w:eastAsiaTheme="minorEastAsia" w:cstheme="minorBidi"/>
          <w:szCs w:val="22"/>
        </w:rPr>
      </w:pPr>
      <w:r>
        <w:fldChar w:fldCharType="begin"/>
      </w:r>
      <w:r>
        <w:instrText xml:space="preserve"> HYPERLINK \l "_Toc162950402" </w:instrText>
      </w:r>
      <w:r>
        <w:fldChar w:fldCharType="separate"/>
      </w:r>
      <w:r>
        <w:rPr>
          <w:rStyle w:val="32"/>
          <w14:scene3d>
            <w14:lightRig w14:rig="threePt" w14:dir="t">
              <w14:rot w14:lat="0" w14:lon="0" w14:rev="0"/>
            </w14:lightRig>
          </w14:scene3d>
        </w:rPr>
        <w:t xml:space="preserve">9.2 </w:t>
      </w:r>
      <w:r>
        <w:rPr>
          <w:rStyle w:val="32"/>
        </w:rPr>
        <w:t xml:space="preserve"> 运行要求</w:t>
      </w:r>
      <w:r>
        <w:tab/>
      </w:r>
      <w:r>
        <w:fldChar w:fldCharType="begin"/>
      </w:r>
      <w:r>
        <w:instrText xml:space="preserve"> PAGEREF _Toc162950402 \h </w:instrText>
      </w:r>
      <w:r>
        <w:fldChar w:fldCharType="separate"/>
      </w:r>
      <w:r>
        <w:t>5</w:t>
      </w:r>
      <w:r>
        <w:fldChar w:fldCharType="end"/>
      </w:r>
      <w:r>
        <w:fldChar w:fldCharType="end"/>
      </w:r>
    </w:p>
    <w:p w14:paraId="30658512">
      <w:pPr>
        <w:pStyle w:val="24"/>
        <w:rPr>
          <w:rFonts w:asciiTheme="minorHAnsi" w:hAnsiTheme="minorHAnsi" w:eastAsiaTheme="minorEastAsia" w:cstheme="minorBidi"/>
          <w:szCs w:val="22"/>
        </w:rPr>
      </w:pPr>
      <w:r>
        <w:fldChar w:fldCharType="begin"/>
      </w:r>
      <w:r>
        <w:instrText xml:space="preserve"> HYPERLINK \l "_Toc162950403" </w:instrText>
      </w:r>
      <w:r>
        <w:fldChar w:fldCharType="separate"/>
      </w:r>
      <w:r>
        <w:rPr>
          <w:rStyle w:val="32"/>
          <w14:scene3d>
            <w14:lightRig w14:rig="threePt" w14:dir="t">
              <w14:rot w14:lat="0" w14:lon="0" w14:rev="0"/>
            </w14:lightRig>
          </w14:scene3d>
        </w:rPr>
        <w:t xml:space="preserve">9.3 </w:t>
      </w:r>
      <w:r>
        <w:rPr>
          <w:rStyle w:val="32"/>
        </w:rPr>
        <w:t xml:space="preserve"> 二噁英控制要求</w:t>
      </w:r>
      <w:r>
        <w:tab/>
      </w:r>
      <w:r>
        <w:fldChar w:fldCharType="begin"/>
      </w:r>
      <w:r>
        <w:instrText xml:space="preserve"> PAGEREF _Toc162950403 \h </w:instrText>
      </w:r>
      <w:r>
        <w:fldChar w:fldCharType="separate"/>
      </w:r>
      <w:r>
        <w:t>5</w:t>
      </w:r>
      <w:r>
        <w:fldChar w:fldCharType="end"/>
      </w:r>
      <w:r>
        <w:fldChar w:fldCharType="end"/>
      </w:r>
    </w:p>
    <w:p w14:paraId="30182C9C">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"_Toc162950404" </w:instrText>
      </w:r>
      <w:r>
        <w:fldChar w:fldCharType="separate"/>
      </w:r>
      <w:r>
        <w:rPr>
          <w:rStyle w:val="32"/>
        </w:rPr>
        <w:t>10  填埋</w:t>
      </w:r>
      <w:r>
        <w:tab/>
      </w:r>
      <w:r>
        <w:fldChar w:fldCharType="begin"/>
      </w:r>
      <w:r>
        <w:instrText xml:space="preserve"> PAGEREF _Toc162950404 \h </w:instrText>
      </w:r>
      <w:r>
        <w:fldChar w:fldCharType="separate"/>
      </w:r>
      <w:r>
        <w:t>5</w:t>
      </w:r>
      <w:r>
        <w:fldChar w:fldCharType="end"/>
      </w:r>
      <w:r>
        <w:fldChar w:fldCharType="end"/>
      </w:r>
    </w:p>
    <w:p w14:paraId="20A44D24">
      <w:pPr>
        <w:pStyle w:val="24"/>
        <w:rPr>
          <w:rFonts w:asciiTheme="minorHAnsi" w:hAnsiTheme="minorHAnsi" w:eastAsiaTheme="minorEastAsia" w:cstheme="minorBidi"/>
          <w:szCs w:val="22"/>
        </w:rPr>
      </w:pPr>
      <w:r>
        <w:fldChar w:fldCharType="begin"/>
      </w:r>
      <w:r>
        <w:instrText xml:space="preserve"> HYPERLINK \l "_Toc162950405" </w:instrText>
      </w:r>
      <w:r>
        <w:fldChar w:fldCharType="separate"/>
      </w:r>
      <w:r>
        <w:rPr>
          <w:rStyle w:val="32"/>
          <w14:scene3d>
            <w14:lightRig w14:rig="threePt" w14:dir="t">
              <w14:rot w14:lat="0" w14:lon="0" w14:rev="0"/>
            </w14:lightRig>
          </w14:scene3d>
        </w:rPr>
        <w:t xml:space="preserve">10.1 </w:t>
      </w:r>
      <w:r>
        <w:rPr>
          <w:rStyle w:val="32"/>
        </w:rPr>
        <w:t xml:space="preserve"> 一般要求</w:t>
      </w:r>
      <w:r>
        <w:tab/>
      </w:r>
      <w:r>
        <w:fldChar w:fldCharType="begin"/>
      </w:r>
      <w:r>
        <w:instrText xml:space="preserve"> PAGEREF _Toc162950405 \h </w:instrText>
      </w:r>
      <w:r>
        <w:fldChar w:fldCharType="separate"/>
      </w:r>
      <w:r>
        <w:t>5</w:t>
      </w:r>
      <w:r>
        <w:fldChar w:fldCharType="end"/>
      </w:r>
      <w:r>
        <w:fldChar w:fldCharType="end"/>
      </w:r>
    </w:p>
    <w:p w14:paraId="07F32CAD">
      <w:pPr>
        <w:pStyle w:val="24"/>
        <w:rPr>
          <w:rFonts w:asciiTheme="minorHAnsi" w:hAnsiTheme="minorHAnsi" w:eastAsiaTheme="minorEastAsia" w:cstheme="minorBidi"/>
          <w:szCs w:val="22"/>
        </w:rPr>
      </w:pPr>
      <w:r>
        <w:fldChar w:fldCharType="begin"/>
      </w:r>
      <w:r>
        <w:instrText xml:space="preserve"> HYPERLINK \l "_Toc162950406" </w:instrText>
      </w:r>
      <w:r>
        <w:fldChar w:fldCharType="separate"/>
      </w:r>
      <w:r>
        <w:rPr>
          <w:rStyle w:val="32"/>
          <w14:scene3d>
            <w14:lightRig w14:rig="threePt" w14:dir="t">
              <w14:rot w14:lat="0" w14:lon="0" w14:rev="0"/>
            </w14:lightRig>
          </w14:scene3d>
        </w:rPr>
        <w:t xml:space="preserve">10.2 </w:t>
      </w:r>
      <w:r>
        <w:rPr>
          <w:rStyle w:val="32"/>
        </w:rPr>
        <w:t xml:space="preserve"> 柔性填埋场</w:t>
      </w:r>
      <w:r>
        <w:tab/>
      </w:r>
      <w:r>
        <w:fldChar w:fldCharType="begin"/>
      </w:r>
      <w:r>
        <w:instrText xml:space="preserve"> PAGEREF _Toc162950406 \h </w:instrText>
      </w:r>
      <w:r>
        <w:fldChar w:fldCharType="separate"/>
      </w:r>
      <w:r>
        <w:t>5</w:t>
      </w:r>
      <w:r>
        <w:fldChar w:fldCharType="end"/>
      </w:r>
      <w:r>
        <w:fldChar w:fldCharType="end"/>
      </w:r>
    </w:p>
    <w:p w14:paraId="70C1A35E">
      <w:pPr>
        <w:pStyle w:val="24"/>
        <w:rPr>
          <w:rFonts w:asciiTheme="minorHAnsi" w:hAnsiTheme="minorHAnsi" w:eastAsiaTheme="minorEastAsia" w:cstheme="minorBidi"/>
          <w:szCs w:val="22"/>
        </w:rPr>
      </w:pPr>
      <w:r>
        <w:fldChar w:fldCharType="begin"/>
      </w:r>
      <w:r>
        <w:instrText xml:space="preserve"> HYPERLINK \l "_Toc162950407" </w:instrText>
      </w:r>
      <w:r>
        <w:fldChar w:fldCharType="separate"/>
      </w:r>
      <w:r>
        <w:rPr>
          <w:rStyle w:val="32"/>
          <w14:scene3d>
            <w14:lightRig w14:rig="threePt" w14:dir="t">
              <w14:rot w14:lat="0" w14:lon="0" w14:rev="0"/>
            </w14:lightRig>
          </w14:scene3d>
        </w:rPr>
        <w:t xml:space="preserve">10.3 </w:t>
      </w:r>
      <w:r>
        <w:rPr>
          <w:rStyle w:val="32"/>
        </w:rPr>
        <w:t xml:space="preserve"> 刚性填埋场</w:t>
      </w:r>
      <w:r>
        <w:tab/>
      </w:r>
      <w:r>
        <w:fldChar w:fldCharType="begin"/>
      </w:r>
      <w:r>
        <w:instrText xml:space="preserve"> PAGEREF _Toc162950407 \h </w:instrText>
      </w:r>
      <w:r>
        <w:fldChar w:fldCharType="separate"/>
      </w:r>
      <w:r>
        <w:t>5</w:t>
      </w:r>
      <w:r>
        <w:fldChar w:fldCharType="end"/>
      </w:r>
      <w:r>
        <w:fldChar w:fldCharType="end"/>
      </w:r>
    </w:p>
    <w:p w14:paraId="67140059">
      <w:pPr>
        <w:pStyle w:val="24"/>
        <w:rPr>
          <w:rFonts w:asciiTheme="minorHAnsi" w:hAnsiTheme="minorHAnsi" w:eastAsiaTheme="minorEastAsia" w:cstheme="minorBidi"/>
          <w:szCs w:val="22"/>
        </w:rPr>
      </w:pPr>
      <w:r>
        <w:fldChar w:fldCharType="begin"/>
      </w:r>
      <w:r>
        <w:instrText xml:space="preserve"> HYPERLINK \l "_Toc162950408" </w:instrText>
      </w:r>
      <w:r>
        <w:fldChar w:fldCharType="separate"/>
      </w:r>
      <w:r>
        <w:rPr>
          <w:rStyle w:val="32"/>
          <w14:scene3d>
            <w14:lightRig w14:rig="threePt" w14:dir="t">
              <w14:rot w14:lat="0" w14:lon="0" w14:rev="0"/>
            </w14:lightRig>
          </w14:scene3d>
        </w:rPr>
        <w:t xml:space="preserve">10.4 </w:t>
      </w:r>
      <w:r>
        <w:rPr>
          <w:rStyle w:val="32"/>
        </w:rPr>
        <w:t xml:space="preserve"> 封场要求</w:t>
      </w:r>
      <w:r>
        <w:tab/>
      </w:r>
      <w:r>
        <w:fldChar w:fldCharType="begin"/>
      </w:r>
      <w:r>
        <w:instrText xml:space="preserve"> PAGEREF _Toc162950408 \h </w:instrText>
      </w:r>
      <w:r>
        <w:fldChar w:fldCharType="separate"/>
      </w:r>
      <w:r>
        <w:t>6</w:t>
      </w:r>
      <w:r>
        <w:fldChar w:fldCharType="end"/>
      </w:r>
      <w:r>
        <w:fldChar w:fldCharType="end"/>
      </w:r>
    </w:p>
    <w:p w14:paraId="1B9E3C1D">
      <w:pPr>
        <w:pStyle w:val="19"/>
        <w:tabs>
          <w:tab w:val="right" w:leader="dot" w:pos="9344"/>
        </w:tabs>
        <w:rPr>
          <w:rFonts w:asciiTheme="minorHAnsi" w:hAnsiTheme="minorHAnsi" w:eastAsiaTheme="minorEastAsia" w:cstheme="minorBidi"/>
          <w:szCs w:val="22"/>
        </w:rPr>
      </w:pPr>
      <w:r>
        <w:fldChar w:fldCharType="begin"/>
      </w:r>
      <w:r>
        <w:instrText xml:space="preserve"> HYPERLINK \l "_Toc162950409" </w:instrText>
      </w:r>
      <w:r>
        <w:fldChar w:fldCharType="separate"/>
      </w:r>
      <w:r>
        <w:rPr>
          <w:rStyle w:val="32"/>
        </w:rPr>
        <w:t>11  运行管理</w:t>
      </w:r>
      <w:r>
        <w:tab/>
      </w:r>
      <w:r>
        <w:fldChar w:fldCharType="begin"/>
      </w:r>
      <w:r>
        <w:instrText xml:space="preserve"> PAGEREF _Toc162950409 \h </w:instrText>
      </w:r>
      <w:r>
        <w:fldChar w:fldCharType="separate"/>
      </w:r>
      <w:r>
        <w:t>6</w:t>
      </w:r>
      <w:r>
        <w:fldChar w:fldCharType="end"/>
      </w:r>
      <w:r>
        <w:fldChar w:fldCharType="end"/>
      </w:r>
    </w:p>
    <w:p w14:paraId="1279172E">
      <w:pPr>
        <w:pStyle w:val="24"/>
        <w:rPr>
          <w:rFonts w:asciiTheme="minorHAnsi" w:hAnsiTheme="minorHAnsi" w:eastAsiaTheme="minorEastAsia" w:cstheme="minorBidi"/>
          <w:szCs w:val="22"/>
        </w:rPr>
      </w:pPr>
      <w:r>
        <w:fldChar w:fldCharType="begin"/>
      </w:r>
      <w:r>
        <w:instrText xml:space="preserve"> HYPERLINK \l "_Toc162950410" </w:instrText>
      </w:r>
      <w:r>
        <w:fldChar w:fldCharType="separate"/>
      </w:r>
      <w:r>
        <w:rPr>
          <w:rStyle w:val="32"/>
          <w14:scene3d>
            <w14:lightRig w14:rig="threePt" w14:dir="t">
              <w14:rot w14:lat="0" w14:lon="0" w14:rev="0"/>
            </w14:lightRig>
          </w14:scene3d>
        </w:rPr>
        <w:t xml:space="preserve">11.1 </w:t>
      </w:r>
      <w:r>
        <w:rPr>
          <w:rStyle w:val="32"/>
        </w:rPr>
        <w:t xml:space="preserve"> 一般要求</w:t>
      </w:r>
      <w:r>
        <w:tab/>
      </w:r>
      <w:r>
        <w:fldChar w:fldCharType="begin"/>
      </w:r>
      <w:r>
        <w:instrText xml:space="preserve"> PAGEREF _Toc162950410 \h </w:instrText>
      </w:r>
      <w:r>
        <w:fldChar w:fldCharType="separate"/>
      </w:r>
      <w:r>
        <w:t>6</w:t>
      </w:r>
      <w:r>
        <w:fldChar w:fldCharType="end"/>
      </w:r>
      <w:r>
        <w:fldChar w:fldCharType="end"/>
      </w:r>
    </w:p>
    <w:p w14:paraId="1E94F634">
      <w:pPr>
        <w:pStyle w:val="24"/>
        <w:rPr>
          <w:rFonts w:asciiTheme="minorHAnsi" w:hAnsiTheme="minorHAnsi" w:eastAsiaTheme="minorEastAsia" w:cstheme="minorBidi"/>
          <w:szCs w:val="22"/>
        </w:rPr>
      </w:pPr>
      <w:r>
        <w:fldChar w:fldCharType="begin"/>
      </w:r>
      <w:r>
        <w:instrText xml:space="preserve"> HYPERLINK \l "_Toc162950411" </w:instrText>
      </w:r>
      <w:r>
        <w:fldChar w:fldCharType="separate"/>
      </w:r>
      <w:r>
        <w:rPr>
          <w:rStyle w:val="32"/>
          <w14:scene3d>
            <w14:lightRig w14:rig="threePt" w14:dir="t">
              <w14:rot w14:lat="0" w14:lon="0" w14:rev="0"/>
            </w14:lightRig>
          </w14:scene3d>
        </w:rPr>
        <w:t xml:space="preserve">11.2 </w:t>
      </w:r>
      <w:r>
        <w:rPr>
          <w:rStyle w:val="32"/>
        </w:rPr>
        <w:t xml:space="preserve"> 监测要求</w:t>
      </w:r>
      <w:r>
        <w:tab/>
      </w:r>
      <w:r>
        <w:fldChar w:fldCharType="begin"/>
      </w:r>
      <w:r>
        <w:instrText xml:space="preserve"> PAGEREF _Toc162950411 \h </w:instrText>
      </w:r>
      <w:r>
        <w:fldChar w:fldCharType="separate"/>
      </w:r>
      <w:r>
        <w:t>6</w:t>
      </w:r>
      <w:r>
        <w:fldChar w:fldCharType="end"/>
      </w:r>
      <w:r>
        <w:fldChar w:fldCharType="end"/>
      </w:r>
    </w:p>
    <w:p w14:paraId="50C865CC">
      <w:pPr>
        <w:pStyle w:val="24"/>
        <w:rPr>
          <w:rFonts w:asciiTheme="minorHAnsi" w:hAnsiTheme="minorHAnsi" w:eastAsiaTheme="minorEastAsia" w:cstheme="minorBidi"/>
          <w:szCs w:val="22"/>
        </w:rPr>
      </w:pPr>
      <w:r>
        <w:fldChar w:fldCharType="begin"/>
      </w:r>
      <w:r>
        <w:instrText xml:space="preserve"> HYPERLINK \l "_Toc162950412" </w:instrText>
      </w:r>
      <w:r>
        <w:fldChar w:fldCharType="separate"/>
      </w:r>
      <w:r>
        <w:rPr>
          <w:rStyle w:val="32"/>
          <w14:scene3d>
            <w14:lightRig w14:rig="threePt" w14:dir="t">
              <w14:rot w14:lat="0" w14:lon="0" w14:rev="0"/>
            </w14:lightRig>
          </w14:scene3d>
        </w:rPr>
        <w:t xml:space="preserve">11.3 </w:t>
      </w:r>
      <w:r>
        <w:rPr>
          <w:rStyle w:val="32"/>
        </w:rPr>
        <w:t xml:space="preserve"> 信息公开要求</w:t>
      </w:r>
      <w:r>
        <w:tab/>
      </w:r>
      <w:r>
        <w:fldChar w:fldCharType="begin"/>
      </w:r>
      <w:r>
        <w:instrText xml:space="preserve"> PAGEREF _Toc162950412 \h </w:instrText>
      </w:r>
      <w:r>
        <w:fldChar w:fldCharType="separate"/>
      </w:r>
      <w:r>
        <w:t>6</w:t>
      </w:r>
      <w:r>
        <w:fldChar w:fldCharType="end"/>
      </w:r>
      <w:r>
        <w:fldChar w:fldCharType="end"/>
      </w:r>
    </w:p>
    <w:p w14:paraId="702D2906">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9230C79">
      <w:pPr>
        <w:pStyle w:val="89"/>
        <w:spacing w:before="900" w:after="468"/>
      </w:pPr>
      <w:bookmarkStart w:id="22" w:name="_Toc162950389"/>
      <w:bookmarkStart w:id="23" w:name="BookMark2"/>
      <w:r>
        <w:rPr>
          <w:spacing w:val="320"/>
        </w:rPr>
        <w:t>前</w:t>
      </w:r>
      <w:r>
        <w:t>言</w:t>
      </w:r>
      <w:bookmarkEnd w:id="22"/>
    </w:p>
    <w:p w14:paraId="57B2C149">
      <w:pPr>
        <w:pStyle w:val="56"/>
        <w:ind w:firstLine="420"/>
      </w:pPr>
      <w:r>
        <w:rPr>
          <w:rFonts w:hint="eastAsia"/>
        </w:rPr>
        <w:t>为贯彻落实《中华人民共和国环境保护法》、《中华人民共和国固体废物污染环境防治法》、《强化危险废物监管和利用处置能力改革实施方案》、《湖北省强化危险废物监管和利用处置能力改革三年攻坚实施方案</w:t>
      </w:r>
      <w:r>
        <w:t xml:space="preserve"> (2023—2025年)》</w:t>
      </w:r>
      <w:r>
        <w:rPr>
          <w:rFonts w:hint="eastAsia"/>
        </w:rPr>
        <w:t>等要求，规范危险废物利用处置管理，促进危险废物利用</w:t>
      </w:r>
      <w:r>
        <w:rPr>
          <w:rFonts w:hint="eastAsia"/>
          <w:lang w:val="en-US" w:eastAsia="zh-CN"/>
        </w:rPr>
        <w:t>处置</w:t>
      </w:r>
      <w:r>
        <w:rPr>
          <w:rFonts w:hint="eastAsia"/>
        </w:rPr>
        <w:t>产业健康发展，制定本标准。</w:t>
      </w:r>
    </w:p>
    <w:p w14:paraId="0EDE0E68">
      <w:pPr>
        <w:pStyle w:val="56"/>
        <w:ind w:firstLine="420"/>
      </w:pPr>
      <w:r>
        <w:rPr>
          <w:rFonts w:hint="eastAsia"/>
        </w:rPr>
        <w:t>本文件按照GB/T 1.1—2020《标准化工作导则  第1部分：标准化文件的结构和起草规则》的规定起草。</w:t>
      </w:r>
    </w:p>
    <w:p w14:paraId="657225CF">
      <w:pPr>
        <w:pStyle w:val="56"/>
        <w:ind w:firstLine="420"/>
      </w:pPr>
      <w:r>
        <w:rPr>
          <w:rFonts w:hint="eastAsia"/>
        </w:rPr>
        <w:t>本文件由湖北省生态环境科学研究院（省生态环境工程评估中心）提出。</w:t>
      </w:r>
    </w:p>
    <w:p w14:paraId="3548A68E">
      <w:pPr>
        <w:pStyle w:val="56"/>
        <w:ind w:firstLine="420"/>
      </w:pPr>
      <w:r>
        <w:rPr>
          <w:rFonts w:hint="eastAsia"/>
        </w:rPr>
        <w:t>本文件由湖北省生态环境厅归口。</w:t>
      </w:r>
    </w:p>
    <w:p w14:paraId="27B6DB75">
      <w:pPr>
        <w:pStyle w:val="56"/>
        <w:ind w:firstLine="420"/>
      </w:pPr>
      <w:r>
        <w:rPr>
          <w:rFonts w:hint="eastAsia"/>
        </w:rPr>
        <w:t>本文件起草单位：湖北省生态环境科学研究院（省生态环境工程评估中心）、湖北省固体废物与化学品污染防治中心。</w:t>
      </w:r>
    </w:p>
    <w:p w14:paraId="0C5189E9">
      <w:pPr>
        <w:pStyle w:val="56"/>
        <w:ind w:firstLine="420"/>
        <w:rPr>
          <w:rFonts w:hint="eastAsia"/>
          <w:highlight w:val="none"/>
          <w:lang w:val="en-US" w:eastAsia="zh-CN"/>
        </w:rPr>
      </w:pPr>
      <w:r>
        <w:rPr>
          <w:rFonts w:hint="eastAsia"/>
        </w:rPr>
        <w:t>本文件主要起草人</w:t>
      </w:r>
      <w:r>
        <w:rPr>
          <w:rFonts w:hint="eastAsia"/>
          <w:highlight w:val="none"/>
        </w:rPr>
        <w:t>：</w:t>
      </w:r>
      <w:r>
        <w:rPr>
          <w:rFonts w:hint="eastAsia"/>
          <w:highlight w:val="none"/>
          <w:lang w:val="en-US" w:eastAsia="zh-CN"/>
        </w:rPr>
        <w:t>金海林、</w:t>
      </w:r>
      <w:r>
        <w:rPr>
          <w:rFonts w:hint="eastAsia"/>
          <w:highlight w:val="none"/>
        </w:rPr>
        <w:t>陈丽鸣、朱燕</w:t>
      </w:r>
      <w:r>
        <w:rPr>
          <w:rFonts w:hint="eastAsia"/>
          <w:highlight w:val="none"/>
          <w:lang w:val="en-US" w:eastAsia="zh-CN"/>
        </w:rPr>
        <w:t>···</w:t>
      </w:r>
    </w:p>
    <w:p w14:paraId="108C6634">
      <w:pPr>
        <w:pStyle w:val="56"/>
        <w:ind w:firstLine="420"/>
        <w:rPr>
          <w:rFonts w:ascii="Times New Roman"/>
        </w:rPr>
      </w:pPr>
      <w:r>
        <w:rPr>
          <w:rFonts w:ascii="Times New Roman"/>
        </w:rPr>
        <w:t>对本文件的有关修改意见建议请反馈至湖北省生态环境科学研究院，电话：027-878</w:t>
      </w:r>
      <w:r>
        <w:rPr>
          <w:rFonts w:hint="eastAsia" w:ascii="Times New Roman"/>
          <w:lang w:val="en-US" w:eastAsia="zh-CN"/>
        </w:rPr>
        <w:t>87701</w:t>
      </w:r>
      <w:r>
        <w:rPr>
          <w:rFonts w:ascii="Times New Roman"/>
        </w:rPr>
        <w:t>，邮箱：</w:t>
      </w:r>
      <w:r>
        <w:rPr>
          <w:rFonts w:hint="eastAsia" w:ascii="Times New Roman"/>
        </w:rPr>
        <w:t>hky_ghs</w:t>
      </w:r>
      <w:r>
        <w:rPr>
          <w:rFonts w:ascii="Times New Roman"/>
        </w:rPr>
        <w:t>@163.com。</w:t>
      </w:r>
    </w:p>
    <w:p w14:paraId="3FC87108">
      <w:pPr>
        <w:pStyle w:val="56"/>
        <w:ind w:firstLine="420"/>
        <w:rPr>
          <w:rFonts w:hint="eastAsia"/>
          <w:highlight w:val="none"/>
          <w:lang w:val="en-US" w:eastAsia="zh-CN"/>
        </w:rPr>
      </w:pPr>
    </w:p>
    <w:p w14:paraId="508DB41C">
      <w:pPr>
        <w:pStyle w:val="56"/>
        <w:ind w:firstLine="420"/>
        <w:rPr>
          <w:highlight w:val="none"/>
        </w:rPr>
      </w:pPr>
    </w:p>
    <w:p w14:paraId="09E880B2">
      <w:pPr>
        <w:pStyle w:val="56"/>
        <w:ind w:firstLine="420"/>
        <w:rPr>
          <w:highlight w:val="none"/>
        </w:rPr>
        <w:sectPr>
          <w:pgSz w:w="11906" w:h="16838"/>
          <w:pgMar w:top="1928" w:right="1134" w:bottom="1134" w:left="1134" w:header="1418" w:footer="1134" w:gutter="284"/>
          <w:pgNumType w:fmt="upperRoman"/>
          <w:cols w:space="425" w:num="1"/>
          <w:formProt w:val="0"/>
          <w:docGrid w:type="lines" w:linePitch="312" w:charSpace="0"/>
        </w:sectPr>
      </w:pPr>
      <w:bookmarkStart w:id="69" w:name="_GoBack"/>
      <w:bookmarkEnd w:id="69"/>
    </w:p>
    <w:bookmarkEnd w:id="23"/>
    <w:p w14:paraId="1B8BE8C6">
      <w:pPr>
        <w:spacing w:line="20" w:lineRule="exact"/>
        <w:jc w:val="center"/>
        <w:rPr>
          <w:rFonts w:ascii="黑体" w:hAnsi="黑体" w:eastAsia="黑体"/>
          <w:sz w:val="32"/>
          <w:szCs w:val="32"/>
          <w:highlight w:val="none"/>
        </w:rPr>
      </w:pPr>
      <w:bookmarkStart w:id="24" w:name="BookMark4"/>
    </w:p>
    <w:p w14:paraId="75A55868">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195F38094901417AADBC5C47A88C498B"/>
        </w:placeholder>
      </w:sdtPr>
      <w:sdtEndPr>
        <w:rPr>
          <w:highlight w:val="none"/>
        </w:rPr>
      </w:sdtEndPr>
      <w:sdtContent>
        <w:p w14:paraId="2C5225D7">
          <w:pPr>
            <w:pStyle w:val="177"/>
            <w:spacing w:before="3" w:beforeLines="1" w:after="686" w:afterLines="220"/>
            <w:rPr>
              <w:highlight w:val="none"/>
            </w:rPr>
          </w:pPr>
          <w:bookmarkStart w:id="25" w:name="NEW_STAND_NAME"/>
          <w:r>
            <w:rPr>
              <w:rFonts w:hint="eastAsia"/>
              <w:highlight w:val="none"/>
            </w:rPr>
            <w:t>危险废物利用处置污染控制技术规范 第1部分:通则</w:t>
          </w:r>
        </w:p>
      </w:sdtContent>
    </w:sdt>
    <w:bookmarkEnd w:id="25"/>
    <w:p w14:paraId="30C4AC43">
      <w:pPr>
        <w:pStyle w:val="104"/>
        <w:spacing w:before="312" w:after="312"/>
      </w:pPr>
      <w:bookmarkStart w:id="26" w:name="_Toc162950390"/>
      <w:bookmarkStart w:id="27" w:name="_Toc26986771"/>
      <w:bookmarkStart w:id="28" w:name="_Toc26718930"/>
      <w:bookmarkStart w:id="29" w:name="_Toc97191423"/>
      <w:bookmarkStart w:id="30" w:name="_Toc26986530"/>
      <w:bookmarkStart w:id="31" w:name="_Toc17233333"/>
      <w:bookmarkStart w:id="32" w:name="_Toc17233325"/>
      <w:bookmarkStart w:id="33" w:name="_Toc26648465"/>
      <w:bookmarkStart w:id="34" w:name="_Toc24884218"/>
      <w:bookmarkStart w:id="35" w:name="_Toc24884211"/>
      <w:r>
        <w:rPr>
          <w:rFonts w:hint="eastAsia"/>
          <w:highlight w:val="none"/>
        </w:rPr>
        <w:t>范围</w:t>
      </w:r>
      <w:bookmarkEnd w:id="26"/>
      <w:bookmarkEnd w:id="27"/>
      <w:bookmarkEnd w:id="28"/>
      <w:bookmarkEnd w:id="29"/>
      <w:bookmarkEnd w:id="30"/>
      <w:bookmarkEnd w:id="31"/>
      <w:bookmarkEnd w:id="32"/>
      <w:bookmarkEnd w:id="33"/>
      <w:bookmarkEnd w:id="34"/>
      <w:bookmarkEnd w:id="35"/>
    </w:p>
    <w:p w14:paraId="6D61CF2C">
      <w:pPr>
        <w:spacing w:line="240" w:lineRule="auto"/>
        <w:ind w:firstLine="420" w:firstLineChars="200"/>
        <w:rPr>
          <w:highlight w:val="none"/>
        </w:rPr>
      </w:pPr>
      <w:bookmarkStart w:id="36" w:name="_Toc17233326"/>
      <w:bookmarkStart w:id="37" w:name="_Toc26648466"/>
      <w:bookmarkStart w:id="38" w:name="_Toc24884219"/>
      <w:bookmarkStart w:id="39" w:name="_Toc24884212"/>
      <w:bookmarkStart w:id="40" w:name="_Toc17233334"/>
      <w:r>
        <w:rPr>
          <w:rFonts w:hint="eastAsia"/>
          <w:highlight w:val="none"/>
        </w:rPr>
        <w:t>本文件规定了危险废物利用与处置的入厂分析、贮存、物化处理、综合利用、焚烧、填埋和运行管理的</w:t>
      </w:r>
      <w:r>
        <w:rPr>
          <w:rFonts w:hint="eastAsia"/>
          <w:highlight w:val="none"/>
          <w:lang w:eastAsia="zh-CN"/>
        </w:rPr>
        <w:t>污染控制</w:t>
      </w:r>
      <w:r>
        <w:rPr>
          <w:rFonts w:hint="eastAsia"/>
          <w:highlight w:val="none"/>
        </w:rPr>
        <w:t>技术要求。</w:t>
      </w:r>
    </w:p>
    <w:p w14:paraId="0E0F68FF">
      <w:pPr>
        <w:spacing w:line="240" w:lineRule="auto"/>
        <w:ind w:firstLine="420" w:firstLineChars="200"/>
        <w:rPr>
          <w:highlight w:val="none"/>
        </w:rPr>
      </w:pPr>
      <w:r>
        <w:rPr>
          <w:rFonts w:hint="eastAsia"/>
          <w:highlight w:val="none"/>
        </w:rPr>
        <w:t>本文件适用于危险废物综合利用与处置单位全过程的污染控制，可用于指导综合利用与处置单位工程建设以及设施运行管理工作；产废单位自建危险废物综合利用与处置设施参照本文件执行；有特定危险废物综合利用与处置专用标准的，同时执行专用标准。</w:t>
      </w:r>
    </w:p>
    <w:p w14:paraId="7906FE9C">
      <w:pPr>
        <w:spacing w:line="240" w:lineRule="auto"/>
        <w:ind w:firstLine="420" w:firstLineChars="200"/>
        <w:rPr>
          <w:rFonts w:hint="eastAsia"/>
          <w:highlight w:val="none"/>
        </w:rPr>
      </w:pPr>
      <w:r>
        <w:rPr>
          <w:rFonts w:hint="eastAsia"/>
          <w:highlight w:val="none"/>
        </w:rPr>
        <w:t>本文件不适用于水泥窑协同处置危险废物、医疗废物处理处置设施。</w:t>
      </w:r>
    </w:p>
    <w:p w14:paraId="390DC8C6">
      <w:pPr>
        <w:pStyle w:val="104"/>
        <w:spacing w:before="312" w:after="312"/>
        <w:rPr>
          <w:highlight w:val="none"/>
        </w:rPr>
      </w:pPr>
      <w:bookmarkStart w:id="41" w:name="_Toc26986772"/>
      <w:bookmarkStart w:id="42" w:name="_Toc162950391"/>
      <w:bookmarkStart w:id="43" w:name="_Toc26986531"/>
      <w:bookmarkStart w:id="44" w:name="_Toc97191424"/>
      <w:bookmarkStart w:id="45" w:name="_Toc26718931"/>
      <w:r>
        <w:rPr>
          <w:rFonts w:hint="eastAsia"/>
          <w:highlight w:val="none"/>
        </w:rPr>
        <w:t>规范性引用文件</w:t>
      </w:r>
      <w:bookmarkEnd w:id="36"/>
      <w:bookmarkEnd w:id="37"/>
      <w:bookmarkEnd w:id="38"/>
      <w:bookmarkEnd w:id="39"/>
      <w:bookmarkEnd w:id="40"/>
      <w:bookmarkEnd w:id="41"/>
      <w:bookmarkEnd w:id="42"/>
      <w:bookmarkEnd w:id="43"/>
      <w:bookmarkEnd w:id="44"/>
      <w:bookmarkEnd w:id="45"/>
    </w:p>
    <w:sdt>
      <w:sdtPr>
        <w:rPr>
          <w:rFonts w:hint="eastAsia"/>
          <w:highlight w:val="none"/>
        </w:rPr>
        <w:id w:val="715848253"/>
        <w:placeholder>
          <w:docPart w:val="58673D131DC149F4BD18A8361097DF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471FA65A">
          <w:pPr>
            <w:pStyle w:val="56"/>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0D3482D">
      <w:pPr>
        <w:pStyle w:val="56"/>
        <w:ind w:firstLine="420"/>
        <w:rPr>
          <w:highlight w:val="none"/>
        </w:rPr>
      </w:pPr>
      <w:r>
        <w:rPr>
          <w:rFonts w:hint="eastAsia"/>
          <w:highlight w:val="none"/>
        </w:rPr>
        <w:t>G</w:t>
      </w:r>
      <w:r>
        <w:rPr>
          <w:highlight w:val="none"/>
        </w:rPr>
        <w:t xml:space="preserve">B 14554 </w:t>
      </w:r>
      <w:r>
        <w:rPr>
          <w:rFonts w:hint="eastAsia"/>
          <w:highlight w:val="none"/>
        </w:rPr>
        <w:t>恶臭污染物排放标准</w:t>
      </w:r>
    </w:p>
    <w:p w14:paraId="5399EAEE">
      <w:pPr>
        <w:pStyle w:val="56"/>
        <w:ind w:firstLine="420"/>
        <w:rPr>
          <w:highlight w:val="none"/>
        </w:rPr>
      </w:pPr>
      <w:r>
        <w:rPr>
          <w:rFonts w:hint="eastAsia"/>
          <w:highlight w:val="none"/>
        </w:rPr>
        <w:t>G</w:t>
      </w:r>
      <w:r>
        <w:rPr>
          <w:highlight w:val="none"/>
        </w:rPr>
        <w:t xml:space="preserve">B 16297 </w:t>
      </w:r>
      <w:r>
        <w:rPr>
          <w:rFonts w:hint="eastAsia"/>
          <w:highlight w:val="none"/>
        </w:rPr>
        <w:t>大气污染物综合排放标准</w:t>
      </w:r>
    </w:p>
    <w:p w14:paraId="73E2658B">
      <w:pPr>
        <w:pStyle w:val="56"/>
        <w:ind w:firstLine="420"/>
        <w:rPr>
          <w:highlight w:val="none"/>
        </w:rPr>
      </w:pPr>
      <w:r>
        <w:rPr>
          <w:rFonts w:hint="eastAsia"/>
          <w:highlight w:val="none"/>
        </w:rPr>
        <w:t>G</w:t>
      </w:r>
      <w:r>
        <w:rPr>
          <w:highlight w:val="none"/>
        </w:rPr>
        <w:t xml:space="preserve">B 18484 </w:t>
      </w:r>
      <w:r>
        <w:rPr>
          <w:rFonts w:hint="eastAsia"/>
          <w:highlight w:val="none"/>
        </w:rPr>
        <w:t>危险废物焚烧污染控制标准</w:t>
      </w:r>
    </w:p>
    <w:p w14:paraId="0EEB3C83">
      <w:pPr>
        <w:pStyle w:val="56"/>
        <w:ind w:firstLine="420"/>
        <w:rPr>
          <w:highlight w:val="none"/>
        </w:rPr>
      </w:pPr>
      <w:r>
        <w:rPr>
          <w:rFonts w:hint="eastAsia"/>
          <w:highlight w:val="none"/>
        </w:rPr>
        <w:t>G</w:t>
      </w:r>
      <w:r>
        <w:rPr>
          <w:highlight w:val="none"/>
        </w:rPr>
        <w:t xml:space="preserve">B 18597 </w:t>
      </w:r>
      <w:r>
        <w:rPr>
          <w:rFonts w:hint="eastAsia"/>
          <w:highlight w:val="none"/>
        </w:rPr>
        <w:t>危险废物贮存污染控制标准</w:t>
      </w:r>
    </w:p>
    <w:p w14:paraId="4EB2B957">
      <w:pPr>
        <w:pStyle w:val="56"/>
        <w:ind w:firstLine="420"/>
        <w:rPr>
          <w:highlight w:val="none"/>
        </w:rPr>
      </w:pPr>
      <w:r>
        <w:rPr>
          <w:rFonts w:hint="eastAsia"/>
          <w:highlight w:val="none"/>
        </w:rPr>
        <w:t>G</w:t>
      </w:r>
      <w:r>
        <w:rPr>
          <w:highlight w:val="none"/>
        </w:rPr>
        <w:t xml:space="preserve">B 18598 </w:t>
      </w:r>
      <w:r>
        <w:rPr>
          <w:rFonts w:hint="eastAsia"/>
          <w:highlight w:val="none"/>
        </w:rPr>
        <w:t>危险废物填埋污染控制标准</w:t>
      </w:r>
    </w:p>
    <w:p w14:paraId="494D90C5">
      <w:pPr>
        <w:pStyle w:val="56"/>
        <w:ind w:firstLine="420"/>
        <w:rPr>
          <w:highlight w:val="none"/>
        </w:rPr>
      </w:pPr>
      <w:r>
        <w:rPr>
          <w:rFonts w:hint="eastAsia"/>
          <w:highlight w:val="none"/>
        </w:rPr>
        <w:t>G</w:t>
      </w:r>
      <w:r>
        <w:rPr>
          <w:highlight w:val="none"/>
        </w:rPr>
        <w:t xml:space="preserve">B 34330 </w:t>
      </w:r>
      <w:r>
        <w:rPr>
          <w:rFonts w:hint="eastAsia"/>
          <w:highlight w:val="none"/>
        </w:rPr>
        <w:t>固体废物鉴别标准 通则</w:t>
      </w:r>
    </w:p>
    <w:p w14:paraId="2A966331">
      <w:pPr>
        <w:pStyle w:val="56"/>
        <w:ind w:firstLine="420"/>
        <w:rPr>
          <w:highlight w:val="none"/>
        </w:rPr>
      </w:pPr>
      <w:r>
        <w:rPr>
          <w:rFonts w:hint="eastAsia"/>
          <w:highlight w:val="none"/>
        </w:rPr>
        <w:t>G</w:t>
      </w:r>
      <w:r>
        <w:rPr>
          <w:highlight w:val="none"/>
        </w:rPr>
        <w:t xml:space="preserve">B 37822 </w:t>
      </w:r>
      <w:r>
        <w:rPr>
          <w:rFonts w:hint="eastAsia"/>
          <w:highlight w:val="none"/>
        </w:rPr>
        <w:t>挥发性有机物无组织排放控制标准</w:t>
      </w:r>
    </w:p>
    <w:p w14:paraId="3AD2E761">
      <w:pPr>
        <w:pStyle w:val="56"/>
        <w:ind w:firstLine="420"/>
        <w:rPr>
          <w:highlight w:val="none"/>
        </w:rPr>
      </w:pPr>
      <w:r>
        <w:rPr>
          <w:highlight w:val="none"/>
        </w:rPr>
        <w:t xml:space="preserve">HJ/T 20 </w:t>
      </w:r>
      <w:r>
        <w:rPr>
          <w:rFonts w:hint="eastAsia"/>
          <w:highlight w:val="none"/>
        </w:rPr>
        <w:t>工业固体废物采样制样技术规范</w:t>
      </w:r>
    </w:p>
    <w:p w14:paraId="16CCA85F">
      <w:pPr>
        <w:pStyle w:val="56"/>
        <w:ind w:firstLine="420"/>
        <w:rPr>
          <w:highlight w:val="none"/>
        </w:rPr>
      </w:pPr>
      <w:r>
        <w:rPr>
          <w:highlight w:val="none"/>
        </w:rPr>
        <w:t xml:space="preserve">HJ/T 176 </w:t>
      </w:r>
      <w:r>
        <w:rPr>
          <w:rFonts w:hint="eastAsia"/>
          <w:highlight w:val="none"/>
        </w:rPr>
        <w:t>危险废物集中焚烧处置工程建设技术规范</w:t>
      </w:r>
    </w:p>
    <w:p w14:paraId="51D329B8">
      <w:pPr>
        <w:pStyle w:val="56"/>
        <w:ind w:firstLine="420"/>
        <w:rPr>
          <w:highlight w:val="none"/>
        </w:rPr>
      </w:pPr>
      <w:r>
        <w:rPr>
          <w:highlight w:val="none"/>
        </w:rPr>
        <w:t xml:space="preserve">HJ 819 </w:t>
      </w:r>
      <w:r>
        <w:rPr>
          <w:rFonts w:hint="eastAsia"/>
          <w:highlight w:val="none"/>
        </w:rPr>
        <w:t>排污单位自行监测技术指南 总则</w:t>
      </w:r>
    </w:p>
    <w:p w14:paraId="73E43DF8">
      <w:pPr>
        <w:pStyle w:val="56"/>
        <w:ind w:firstLine="420"/>
        <w:rPr>
          <w:highlight w:val="none"/>
        </w:rPr>
      </w:pPr>
      <w:r>
        <w:rPr>
          <w:highlight w:val="none"/>
        </w:rPr>
        <w:t>HJ</w:t>
      </w:r>
      <w:r>
        <w:rPr>
          <w:rFonts w:hint="eastAsia"/>
          <w:highlight w:val="none"/>
        </w:rPr>
        <w:t xml:space="preserve"> </w:t>
      </w:r>
      <w:r>
        <w:rPr>
          <w:highlight w:val="none"/>
        </w:rPr>
        <w:t xml:space="preserve">1091-2020 </w:t>
      </w:r>
      <w:r>
        <w:rPr>
          <w:rFonts w:hint="eastAsia"/>
          <w:highlight w:val="none"/>
        </w:rPr>
        <w:t>固体废物再生利用污染防治技术导则</w:t>
      </w:r>
    </w:p>
    <w:p w14:paraId="0C44924B">
      <w:pPr>
        <w:pStyle w:val="56"/>
        <w:ind w:firstLine="420"/>
        <w:rPr>
          <w:highlight w:val="none"/>
        </w:rPr>
      </w:pPr>
      <w:r>
        <w:rPr>
          <w:highlight w:val="none"/>
        </w:rPr>
        <w:t xml:space="preserve">HJ 1259 </w:t>
      </w:r>
      <w:r>
        <w:rPr>
          <w:rFonts w:hint="eastAsia"/>
          <w:highlight w:val="none"/>
        </w:rPr>
        <w:t>危险废物管理计划和管理台账制定技术导则</w:t>
      </w:r>
    </w:p>
    <w:p w14:paraId="7D883503">
      <w:pPr>
        <w:pStyle w:val="56"/>
        <w:ind w:firstLine="420"/>
        <w:rPr>
          <w:highlight w:val="none"/>
        </w:rPr>
      </w:pPr>
      <w:r>
        <w:rPr>
          <w:highlight w:val="none"/>
        </w:rPr>
        <w:t xml:space="preserve">HJ 1276 </w:t>
      </w:r>
      <w:r>
        <w:rPr>
          <w:rFonts w:hint="eastAsia"/>
          <w:highlight w:val="none"/>
        </w:rPr>
        <w:t>危险废物识别标志设置技术规范</w:t>
      </w:r>
    </w:p>
    <w:p w14:paraId="61EA737D">
      <w:pPr>
        <w:pStyle w:val="56"/>
        <w:ind w:firstLine="420"/>
      </w:pPr>
      <w:r>
        <w:rPr>
          <w:rFonts w:hint="eastAsia"/>
          <w:highlight w:val="none"/>
        </w:rPr>
        <w:t>HJ 2025 危险废物收集、贮存、运输技术规范</w:t>
      </w:r>
    </w:p>
    <w:p w14:paraId="6A38FFF8">
      <w:pPr>
        <w:pStyle w:val="56"/>
        <w:ind w:firstLine="420"/>
      </w:pPr>
      <w:r>
        <w:rPr>
          <w:rFonts w:hint="eastAsia"/>
        </w:rPr>
        <w:t>HJ 2042 危险废物处置工程技术导则</w:t>
      </w:r>
    </w:p>
    <w:p w14:paraId="63CE8A4A">
      <w:pPr>
        <w:pStyle w:val="104"/>
        <w:spacing w:before="312" w:after="312"/>
      </w:pPr>
      <w:bookmarkStart w:id="46" w:name="_Toc162950392"/>
      <w:bookmarkStart w:id="47" w:name="_Toc97191425"/>
      <w:r>
        <w:rPr>
          <w:rFonts w:hint="eastAsia"/>
          <w:szCs w:val="21"/>
        </w:rPr>
        <w:t>术语和定义</w:t>
      </w:r>
      <w:bookmarkEnd w:id="46"/>
      <w:bookmarkEnd w:id="47"/>
    </w:p>
    <w:sdt>
      <w:sdtPr>
        <w:id w:val="-1909835108"/>
        <w:placeholder>
          <w:docPart w:val="7C1598672BA1439CB1ACABC5FEB889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E81158">
          <w:pPr>
            <w:pStyle w:val="56"/>
            <w:ind w:firstLine="420"/>
          </w:pPr>
          <w:bookmarkStart w:id="48" w:name="_Toc26986532"/>
          <w:bookmarkEnd w:id="48"/>
          <w:r>
            <w:t>下列术语和定义适用于本文件。</w:t>
          </w:r>
        </w:p>
      </w:sdtContent>
    </w:sdt>
    <w:p w14:paraId="539D8F2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危险废物 </w:t>
      </w:r>
      <w:r>
        <w:rPr>
          <w:rFonts w:ascii="黑体" w:hAnsi="黑体" w:eastAsia="黑体"/>
        </w:rPr>
        <w:t>hazardous waste</w:t>
      </w:r>
    </w:p>
    <w:p w14:paraId="149762B1">
      <w:pPr>
        <w:pStyle w:val="56"/>
        <w:ind w:firstLine="420"/>
        <w:rPr>
          <w:rFonts w:hint="eastAsia"/>
        </w:rPr>
      </w:pPr>
      <w:r>
        <w:rPr>
          <w:rFonts w:hint="eastAsia"/>
        </w:rPr>
        <w:t>列入国家危险废物名录或者根据国家规定的危险废物鉴别标准和鉴别方法认定的具有危险特性的固体废物。</w:t>
      </w:r>
    </w:p>
    <w:p w14:paraId="2EA1384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综合利用 </w:t>
      </w:r>
      <w:r>
        <w:rPr>
          <w:rFonts w:ascii="黑体" w:hAnsi="黑体" w:eastAsia="黑体"/>
        </w:rPr>
        <w:t>integrated utilization</w:t>
      </w:r>
    </w:p>
    <w:p w14:paraId="7801970B">
      <w:pPr>
        <w:pStyle w:val="56"/>
        <w:ind w:firstLine="420"/>
      </w:pPr>
      <w:r>
        <w:rPr>
          <w:rFonts w:hint="eastAsia"/>
        </w:rPr>
        <w:t>从危险废物中提取物质作为原材料或者燃料的活动。</w:t>
      </w:r>
    </w:p>
    <w:p w14:paraId="0F478AE1">
      <w:pPr>
        <w:pStyle w:val="56"/>
        <w:ind w:firstLine="360"/>
        <w:rPr>
          <w:rFonts w:hint="eastAsia"/>
          <w:sz w:val="18"/>
          <w:szCs w:val="18"/>
          <w:highlight w:val="none"/>
        </w:rPr>
      </w:pPr>
      <w:r>
        <w:rPr>
          <w:rFonts w:hint="eastAsia"/>
          <w:sz w:val="18"/>
          <w:szCs w:val="18"/>
          <w:highlight w:val="none"/>
        </w:rPr>
        <w:t>注：主要包括湿法回收、火法熔炼、精馏提取等措施。</w:t>
      </w:r>
    </w:p>
    <w:p w14:paraId="0D80D76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处置 </w:t>
      </w:r>
      <w:r>
        <w:rPr>
          <w:rFonts w:ascii="黑体" w:hAnsi="黑体" w:eastAsia="黑体"/>
        </w:rPr>
        <w:t>disposal</w:t>
      </w:r>
    </w:p>
    <w:p w14:paraId="37D8039B">
      <w:pPr>
        <w:pStyle w:val="56"/>
        <w:ind w:firstLine="420"/>
        <w:rPr>
          <w:rFonts w:hint="eastAsia"/>
          <w:lang w:eastAsia="zh-CN"/>
        </w:rPr>
      </w:pPr>
      <w:r>
        <w:rPr>
          <w:rFonts w:hint="eastAsia"/>
        </w:rPr>
        <w:t>将危险废物焚烧和用其他改变</w:t>
      </w:r>
      <w:r>
        <w:rPr>
          <w:rFonts w:hint="eastAsia"/>
          <w:lang w:val="en-US" w:eastAsia="zh-CN"/>
        </w:rPr>
        <w:t>危险</w:t>
      </w:r>
      <w:r>
        <w:rPr>
          <w:rFonts w:hint="eastAsia"/>
        </w:rPr>
        <w:t>废物的物理、化学、生物特性的方法，达到减少已产生危险废物数量、缩小危险废物体积、减少或者消除其危险成分的活动，或者将危险废物最终置于符合环境保护规定要求的填埋场的活动</w:t>
      </w:r>
      <w:r>
        <w:rPr>
          <w:rFonts w:hint="eastAsia"/>
          <w:lang w:eastAsia="zh-CN"/>
        </w:rPr>
        <w:t>。</w:t>
      </w:r>
    </w:p>
    <w:p w14:paraId="2C89B084">
      <w:pPr>
        <w:pStyle w:val="56"/>
        <w:ind w:firstLine="360"/>
        <w:rPr>
          <w:rFonts w:hint="eastAsia"/>
          <w:sz w:val="18"/>
          <w:szCs w:val="18"/>
        </w:rPr>
      </w:pPr>
      <w:r>
        <w:rPr>
          <w:rFonts w:hint="eastAsia"/>
          <w:sz w:val="18"/>
          <w:szCs w:val="18"/>
          <w:lang w:val="en-US" w:eastAsia="zh-CN"/>
        </w:rPr>
        <w:t>注：</w:t>
      </w:r>
      <w:r>
        <w:rPr>
          <w:rFonts w:hint="eastAsia"/>
          <w:sz w:val="18"/>
          <w:szCs w:val="18"/>
        </w:rPr>
        <w:t>主要包括焚烧、填埋等措施。</w:t>
      </w:r>
    </w:p>
    <w:p w14:paraId="187FBED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物化处理 </w:t>
      </w:r>
      <w:r>
        <w:rPr>
          <w:rFonts w:ascii="黑体" w:hAnsi="黑体" w:eastAsia="黑体"/>
        </w:rPr>
        <w:t>physicochemical treatment</w:t>
      </w:r>
    </w:p>
    <w:p w14:paraId="340FA699">
      <w:pPr>
        <w:pStyle w:val="56"/>
        <w:ind w:firstLine="420"/>
      </w:pPr>
      <w:r>
        <w:rPr>
          <w:rFonts w:hint="eastAsia"/>
        </w:rPr>
        <w:t>通过物理化学方法介绍或消除危险废物的危险属性，或改变危险废物形态的过程。</w:t>
      </w:r>
    </w:p>
    <w:p w14:paraId="29F8F4E7">
      <w:pPr>
        <w:pStyle w:val="56"/>
        <w:ind w:firstLine="360"/>
        <w:rPr>
          <w:rFonts w:hint="eastAsia"/>
          <w:sz w:val="18"/>
          <w:szCs w:val="18"/>
        </w:rPr>
      </w:pPr>
      <w:r>
        <w:rPr>
          <w:rFonts w:hint="eastAsia"/>
          <w:sz w:val="18"/>
          <w:szCs w:val="18"/>
        </w:rPr>
        <w:t>注：主要包括中和、絮凝沉淀、氧化/还原、蒸发结晶等措施。</w:t>
      </w:r>
    </w:p>
    <w:p w14:paraId="43BFBC6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焚烧 </w:t>
      </w:r>
      <w:r>
        <w:rPr>
          <w:rFonts w:ascii="黑体" w:hAnsi="黑体" w:eastAsia="黑体"/>
        </w:rPr>
        <w:t>incineration</w:t>
      </w:r>
    </w:p>
    <w:p w14:paraId="5DE55A74">
      <w:pPr>
        <w:pStyle w:val="56"/>
        <w:ind w:firstLine="420"/>
        <w:rPr>
          <w:rFonts w:hint="eastAsia"/>
        </w:rPr>
      </w:pPr>
      <w:r>
        <w:rPr>
          <w:rFonts w:hint="eastAsia"/>
        </w:rPr>
        <w:t>危险废物在高温条件下发生燃烧等反应，实现无害化和减量化的过程。</w:t>
      </w:r>
    </w:p>
    <w:p w14:paraId="573EA29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焚烧设施 </w:t>
      </w:r>
      <w:r>
        <w:rPr>
          <w:rFonts w:ascii="黑体" w:hAnsi="黑体" w:eastAsia="黑体"/>
        </w:rPr>
        <w:t>incineration facilities</w:t>
      </w:r>
    </w:p>
    <w:p w14:paraId="04BC0F34">
      <w:pPr>
        <w:pStyle w:val="56"/>
        <w:ind w:firstLine="420"/>
      </w:pPr>
      <w:r>
        <w:rPr>
          <w:rFonts w:hint="eastAsia"/>
        </w:rPr>
        <w:t>以焚烧方式处置危险废物，达到减少数量、缩小体积、消除其危险特性目的的装置。</w:t>
      </w:r>
    </w:p>
    <w:p w14:paraId="35ACD6B3">
      <w:pPr>
        <w:pStyle w:val="56"/>
        <w:ind w:firstLine="420"/>
        <w:rPr>
          <w:rFonts w:hint="eastAsia"/>
        </w:rPr>
      </w:pPr>
      <w:r>
        <w:rPr>
          <w:rFonts w:hint="eastAsia"/>
        </w:rPr>
        <w:t>（主要包括进料装置、焚烧炉、烟气净化装置和控制系统等）</w:t>
      </w:r>
    </w:p>
    <w:p w14:paraId="1C05757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综合利用产物 </w:t>
      </w:r>
      <w:r>
        <w:rPr>
          <w:rFonts w:ascii="黑体" w:hAnsi="黑体" w:eastAsia="黑体"/>
        </w:rPr>
        <w:t>integrated utilization products</w:t>
      </w:r>
    </w:p>
    <w:p w14:paraId="3A38BBEA">
      <w:pPr>
        <w:pStyle w:val="56"/>
        <w:ind w:firstLine="420"/>
        <w:rPr>
          <w:rFonts w:hint="eastAsia"/>
          <w:color w:val="auto"/>
        </w:rPr>
      </w:pPr>
      <w:r>
        <w:rPr>
          <w:rFonts w:hint="eastAsia"/>
          <w:color w:val="auto"/>
        </w:rPr>
        <w:t>危险废物综合利用产生的可作为原材料或者替代燃料且不按危险废物管理的产物。</w:t>
      </w:r>
    </w:p>
    <w:p w14:paraId="4420B69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危险废物填埋场 </w:t>
      </w:r>
      <w:r>
        <w:rPr>
          <w:rFonts w:ascii="黑体" w:hAnsi="黑体" w:eastAsia="黑体"/>
        </w:rPr>
        <w:t>hazardous waste landfill</w:t>
      </w:r>
    </w:p>
    <w:p w14:paraId="5ABF1617">
      <w:pPr>
        <w:pStyle w:val="56"/>
        <w:ind w:firstLine="420"/>
        <w:rPr>
          <w:rFonts w:hint="default"/>
          <w:color w:val="FF0000"/>
          <w:sz w:val="21"/>
          <w:szCs w:val="21"/>
          <w:lang w:val="en-US" w:eastAsia="zh-CN"/>
        </w:rPr>
      </w:pPr>
      <w:r>
        <w:rPr>
          <w:rFonts w:hint="eastAsia"/>
        </w:rPr>
        <w:t>处置危险废物的一种陆地处置设施，由若干个处置单元和构筑物组成，主要包括接收和贮存设施、分析与鉴别系统、预处理设施、填埋处置设施（其中包括：防渗系统、渗滤液收集和导排系统）、封场覆盖系统、渗滤液和废水处理系统、环境监测系统、应急设施及其他公用工程配套设施。</w:t>
      </w:r>
    </w:p>
    <w:p w14:paraId="2F6F6CC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柔性填埋场 </w:t>
      </w:r>
      <w:r>
        <w:rPr>
          <w:rFonts w:ascii="黑体" w:hAnsi="黑体" w:eastAsia="黑体"/>
        </w:rPr>
        <w:t>flexible langdfill</w:t>
      </w:r>
    </w:p>
    <w:p w14:paraId="112A11DD">
      <w:pPr>
        <w:pStyle w:val="56"/>
        <w:ind w:firstLine="420"/>
        <w:rPr>
          <w:rFonts w:hint="eastAsia"/>
        </w:rPr>
      </w:pPr>
      <w:r>
        <w:rPr>
          <w:rFonts w:hint="eastAsia"/>
        </w:rPr>
        <w:t>采用双人工复合衬层作为防渗层的填埋处置设施。</w:t>
      </w:r>
    </w:p>
    <w:p w14:paraId="20640E70">
      <w:pPr>
        <w:pStyle w:val="56"/>
        <w:ind w:firstLine="420"/>
        <w:rPr>
          <w:rFonts w:hint="default"/>
          <w:color w:val="FF0000"/>
          <w:sz w:val="21"/>
          <w:szCs w:val="21"/>
          <w:lang w:val="en-US" w:eastAsia="zh-CN"/>
        </w:rPr>
      </w:pPr>
    </w:p>
    <w:p w14:paraId="37385592">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刚性填埋场 </w:t>
      </w:r>
      <w:r>
        <w:rPr>
          <w:rFonts w:ascii="黑体" w:hAnsi="黑体" w:eastAsia="黑体"/>
          <w:color w:val="auto"/>
        </w:rPr>
        <w:t>concrete landfill</w:t>
      </w:r>
    </w:p>
    <w:p w14:paraId="3ADDE6E8">
      <w:pPr>
        <w:pStyle w:val="56"/>
        <w:ind w:firstLine="420"/>
        <w:rPr>
          <w:rFonts w:hint="default"/>
          <w:color w:val="auto"/>
          <w:lang w:val="en-US"/>
        </w:rPr>
      </w:pPr>
      <w:r>
        <w:rPr>
          <w:rFonts w:hint="eastAsia"/>
          <w:color w:val="auto"/>
        </w:rPr>
        <w:t>采用钢筋混凝土作为防渗阻隔结构的填埋处置设施。</w:t>
      </w:r>
    </w:p>
    <w:p w14:paraId="6F895CF2">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再生回用 closed</w:t>
      </w:r>
      <w:r>
        <w:rPr>
          <w:rFonts w:ascii="黑体" w:hAnsi="黑体" w:eastAsia="黑体"/>
          <w:color w:val="auto"/>
        </w:rPr>
        <w:t>-loop recyl</w:t>
      </w:r>
    </w:p>
    <w:p w14:paraId="24A1B255">
      <w:pPr>
        <w:pStyle w:val="56"/>
        <w:ind w:firstLine="420"/>
        <w:rPr>
          <w:rFonts w:hint="eastAsia"/>
          <w:color w:val="auto"/>
        </w:rPr>
      </w:pPr>
      <w:r>
        <w:rPr>
          <w:rFonts w:hint="eastAsia"/>
          <w:color w:val="auto"/>
          <w:highlight w:val="none"/>
        </w:rPr>
        <w:t>将危险废物综合利用产物</w:t>
      </w:r>
      <w:r>
        <w:rPr>
          <w:rFonts w:hint="eastAsia"/>
          <w:color w:val="auto"/>
        </w:rPr>
        <w:t>返回原企业再次回用的过程。</w:t>
      </w:r>
    </w:p>
    <w:p w14:paraId="659372F8">
      <w:pPr>
        <w:pStyle w:val="223"/>
        <w:ind w:left="420" w:hanging="420" w:hangingChars="200"/>
        <w:rPr>
          <w:rFonts w:ascii="黑体" w:hAnsi="黑体" w:eastAsia="黑体"/>
          <w:color w:val="auto"/>
        </w:rPr>
      </w:pPr>
      <w:r>
        <w:rPr>
          <w:rFonts w:ascii="黑体" w:hAnsi="黑体" w:eastAsia="黑体"/>
          <w:color w:val="auto"/>
        </w:rPr>
        <w:br w:type="textWrapping"/>
      </w:r>
      <w:r>
        <w:rPr>
          <w:rFonts w:hint="eastAsia" w:ascii="黑体" w:hAnsi="黑体" w:eastAsia="黑体"/>
          <w:color w:val="auto"/>
        </w:rPr>
        <w:t xml:space="preserve">定向利用 </w:t>
      </w:r>
      <w:r>
        <w:rPr>
          <w:rFonts w:ascii="黑体" w:hAnsi="黑体" w:eastAsia="黑体"/>
          <w:color w:val="auto"/>
        </w:rPr>
        <w:t xml:space="preserve">directional utilization </w:t>
      </w:r>
    </w:p>
    <w:p w14:paraId="6558E728">
      <w:pPr>
        <w:pStyle w:val="56"/>
        <w:ind w:firstLine="420"/>
        <w:rPr>
          <w:rFonts w:hint="eastAsia"/>
          <w:color w:val="auto"/>
          <w:highlight w:val="none"/>
        </w:rPr>
      </w:pPr>
      <w:r>
        <w:rPr>
          <w:rFonts w:hint="eastAsia"/>
          <w:color w:val="auto"/>
          <w:highlight w:val="none"/>
        </w:rPr>
        <w:t>将危险废物综合利用产物作为另外一家</w:t>
      </w:r>
      <w:r>
        <w:rPr>
          <w:rFonts w:hint="eastAsia"/>
          <w:color w:val="auto"/>
          <w:highlight w:val="none"/>
          <w:lang w:val="en-US" w:eastAsia="zh-CN"/>
        </w:rPr>
        <w:t>危险废物利用</w:t>
      </w:r>
      <w:r>
        <w:rPr>
          <w:rFonts w:hint="eastAsia"/>
          <w:color w:val="auto"/>
          <w:highlight w:val="none"/>
        </w:rPr>
        <w:t>单位环境治理或工业产品生产的替代原料进行使用的过程。</w:t>
      </w:r>
    </w:p>
    <w:p w14:paraId="70BEED91">
      <w:pPr>
        <w:pStyle w:val="104"/>
        <w:spacing w:before="312" w:after="312"/>
        <w:rPr>
          <w:rFonts w:hint="default"/>
          <w:color w:val="auto"/>
          <w:sz w:val="21"/>
          <w:szCs w:val="21"/>
          <w:lang w:val="en-US" w:eastAsia="zh-CN"/>
        </w:rPr>
      </w:pPr>
      <w:bookmarkStart w:id="49" w:name="_Toc162950393"/>
      <w:r>
        <w:rPr>
          <w:rFonts w:hint="eastAsia"/>
          <w:color w:val="auto"/>
        </w:rPr>
        <w:t>总体要求</w:t>
      </w:r>
      <w:bookmarkEnd w:id="49"/>
    </w:p>
    <w:p w14:paraId="66FBDF37">
      <w:pPr>
        <w:pStyle w:val="162"/>
        <w:rPr>
          <w:color w:val="auto"/>
        </w:rPr>
      </w:pPr>
      <w:r>
        <w:rPr>
          <w:rFonts w:hint="eastAsia"/>
          <w:color w:val="auto"/>
        </w:rPr>
        <w:t>危险废物综合利用与处置过程应采用二次污染少、环境风险低、自动化程度高的技术装备。</w:t>
      </w:r>
    </w:p>
    <w:p w14:paraId="674E40A3">
      <w:pPr>
        <w:pStyle w:val="162"/>
        <w:rPr>
          <w:color w:val="auto"/>
        </w:rPr>
      </w:pPr>
      <w:r>
        <w:rPr>
          <w:rFonts w:hint="eastAsia"/>
          <w:color w:val="auto"/>
        </w:rPr>
        <w:t>危险废物综合利用与处置各环节应</w:t>
      </w:r>
      <w:r>
        <w:rPr>
          <w:rFonts w:hint="eastAsia"/>
          <w:color w:val="auto"/>
          <w:lang w:val="en-US" w:eastAsia="zh-CN"/>
        </w:rPr>
        <w:t>遵循环境风险可控的原则，</w:t>
      </w:r>
      <w:r>
        <w:rPr>
          <w:rFonts w:hint="eastAsia"/>
          <w:color w:val="auto"/>
        </w:rPr>
        <w:t>采取有效的污染</w:t>
      </w:r>
      <w:r>
        <w:rPr>
          <w:rFonts w:hint="eastAsia"/>
          <w:color w:val="auto"/>
          <w:lang w:val="en-US" w:eastAsia="zh-CN"/>
        </w:rPr>
        <w:t>防治</w:t>
      </w:r>
      <w:r>
        <w:rPr>
          <w:rFonts w:hint="eastAsia"/>
          <w:color w:val="auto"/>
        </w:rPr>
        <w:t>措施，减少污染物的无组织排放，妥善处置产生的废物并做好台账记录</w:t>
      </w:r>
      <w:r>
        <w:rPr>
          <w:rFonts w:hint="eastAsia"/>
          <w:color w:val="auto"/>
          <w:lang w:eastAsia="zh-CN"/>
        </w:rPr>
        <w:t>，</w:t>
      </w:r>
      <w:r>
        <w:rPr>
          <w:rFonts w:hint="eastAsia"/>
          <w:color w:val="auto"/>
          <w:lang w:val="en-US" w:eastAsia="zh-CN"/>
        </w:rPr>
        <w:t>保证综合利用与处置全过程环境及人体健康风险可接受</w:t>
      </w:r>
      <w:r>
        <w:rPr>
          <w:rFonts w:hint="eastAsia"/>
          <w:color w:val="auto"/>
        </w:rPr>
        <w:t>。</w:t>
      </w:r>
    </w:p>
    <w:p w14:paraId="1509F85A">
      <w:pPr>
        <w:pStyle w:val="162"/>
        <w:rPr>
          <w:color w:val="auto"/>
        </w:rPr>
      </w:pPr>
      <w:r>
        <w:rPr>
          <w:rFonts w:hint="eastAsia"/>
          <w:color w:val="auto"/>
        </w:rPr>
        <w:t>危险废物综合利用与处置过程产生的各种污染物的排放应满足国家和地方的污染物排放（控制）标准与排污许可要求。</w:t>
      </w:r>
    </w:p>
    <w:p w14:paraId="36953907">
      <w:pPr>
        <w:pStyle w:val="162"/>
        <w:rPr>
          <w:color w:val="auto"/>
        </w:rPr>
      </w:pPr>
      <w:r>
        <w:rPr>
          <w:rFonts w:hint="eastAsia"/>
          <w:color w:val="auto"/>
        </w:rPr>
        <w:t>危险废物综合利用应满足应用场景的技术要求，综合利用产物的生产和使用不应导致质量和安全问题。</w:t>
      </w:r>
    </w:p>
    <w:p w14:paraId="25FB3B27">
      <w:pPr>
        <w:pStyle w:val="162"/>
        <w:rPr>
          <w:color w:val="auto"/>
        </w:rPr>
      </w:pPr>
      <w:r>
        <w:rPr>
          <w:rFonts w:hint="eastAsia"/>
          <w:color w:val="auto"/>
          <w:lang w:val="en-US" w:eastAsia="zh-CN"/>
        </w:rPr>
        <w:t>危险废物定向利用时，应使用来源单一稳定、具有一定规模、有害成分清晰、危险特性明确的危险废物，并明确利用产物的用途。</w:t>
      </w:r>
    </w:p>
    <w:p w14:paraId="06D1ED84">
      <w:pPr>
        <w:pStyle w:val="104"/>
        <w:spacing w:before="312" w:after="312"/>
        <w:rPr>
          <w:color w:val="auto"/>
        </w:rPr>
      </w:pPr>
      <w:bookmarkStart w:id="50" w:name="_Toc162950394"/>
      <w:r>
        <w:rPr>
          <w:rFonts w:hint="eastAsia"/>
          <w:color w:val="auto"/>
        </w:rPr>
        <w:t>入</w:t>
      </w:r>
      <w:r>
        <w:rPr>
          <w:rFonts w:hint="eastAsia"/>
          <w:color w:val="auto"/>
          <w:lang w:val="en-US" w:eastAsia="zh-CN"/>
        </w:rPr>
        <w:t>厂</w:t>
      </w:r>
      <w:r>
        <w:rPr>
          <w:rFonts w:hint="eastAsia"/>
          <w:color w:val="auto"/>
        </w:rPr>
        <w:t>分析</w:t>
      </w:r>
      <w:bookmarkEnd w:id="50"/>
    </w:p>
    <w:p w14:paraId="73667458">
      <w:pPr>
        <w:pStyle w:val="162"/>
        <w:rPr>
          <w:color w:val="auto"/>
        </w:rPr>
      </w:pPr>
      <w:r>
        <w:rPr>
          <w:rFonts w:hint="eastAsia"/>
          <w:color w:val="auto"/>
        </w:rPr>
        <w:t>应结合拟接收危险废物特性和采用的综合利用与处置工艺确定危险废物入厂接收标准。</w:t>
      </w:r>
    </w:p>
    <w:p w14:paraId="7CF04EBA">
      <w:pPr>
        <w:pStyle w:val="162"/>
        <w:rPr>
          <w:color w:val="auto"/>
        </w:rPr>
      </w:pPr>
      <w:r>
        <w:rPr>
          <w:rFonts w:hint="eastAsia"/>
          <w:color w:val="auto"/>
        </w:rPr>
        <w:t>危险废物的</w:t>
      </w:r>
      <w:r>
        <w:rPr>
          <w:rFonts w:hint="eastAsia"/>
          <w:color w:val="auto"/>
          <w:lang w:val="en-US" w:eastAsia="zh-CN"/>
        </w:rPr>
        <w:t>收集</w:t>
      </w:r>
      <w:r>
        <w:rPr>
          <w:rFonts w:hint="eastAsia"/>
          <w:color w:val="auto"/>
        </w:rPr>
        <w:t>及运输应符合H</w:t>
      </w:r>
      <w:r>
        <w:rPr>
          <w:color w:val="auto"/>
        </w:rPr>
        <w:t xml:space="preserve">J2025 </w:t>
      </w:r>
      <w:r>
        <w:rPr>
          <w:rFonts w:hint="eastAsia"/>
          <w:color w:val="auto"/>
        </w:rPr>
        <w:t>的相关要求，危险废物入厂、综合利用与处置过程的采样应符合H</w:t>
      </w:r>
      <w:r>
        <w:rPr>
          <w:color w:val="auto"/>
        </w:rPr>
        <w:t>J/T</w:t>
      </w:r>
      <w:r>
        <w:rPr>
          <w:rFonts w:hint="eastAsia"/>
          <w:color w:val="auto"/>
        </w:rPr>
        <w:t xml:space="preserve"> </w:t>
      </w:r>
      <w:r>
        <w:rPr>
          <w:color w:val="auto"/>
        </w:rPr>
        <w:t>20</w:t>
      </w:r>
      <w:r>
        <w:rPr>
          <w:rFonts w:hint="eastAsia"/>
          <w:color w:val="auto"/>
          <w:lang w:val="en-US" w:eastAsia="zh-CN"/>
        </w:rPr>
        <w:t>及HJ/298</w:t>
      </w:r>
      <w:r>
        <w:rPr>
          <w:rFonts w:hint="eastAsia"/>
          <w:color w:val="auto"/>
        </w:rPr>
        <w:t>的有关规定。</w:t>
      </w:r>
    </w:p>
    <w:p w14:paraId="018E09C2">
      <w:pPr>
        <w:pStyle w:val="162"/>
        <w:rPr>
          <w:color w:val="auto"/>
        </w:rPr>
      </w:pPr>
      <w:r>
        <w:rPr>
          <w:rFonts w:hint="eastAsia"/>
          <w:color w:val="auto"/>
          <w:lang w:val="en-US" w:eastAsia="zh-CN"/>
        </w:rPr>
        <w:t>应设置化验室，配备满足分析检测需要的检测能力，根据接收危险废物特性和生产工艺，合理制定检测方案，明确检测因子、方法及频次，检测方法应符合国家检测规范要求。接收危险废物来源发生较大变化的，应重新制定检测方案并开展检测。</w:t>
      </w:r>
    </w:p>
    <w:p w14:paraId="0228A11A">
      <w:pPr>
        <w:pStyle w:val="162"/>
        <w:rPr>
          <w:color w:val="auto"/>
        </w:rPr>
      </w:pPr>
      <w:r>
        <w:rPr>
          <w:rFonts w:hint="eastAsia"/>
          <w:color w:val="auto"/>
          <w:lang w:val="en-US" w:eastAsia="zh-CN"/>
        </w:rPr>
        <w:t>企业应建立完善的入厂分析制度，</w:t>
      </w:r>
      <w:r>
        <w:rPr>
          <w:rFonts w:hint="eastAsia"/>
          <w:color w:val="auto"/>
        </w:rPr>
        <w:t>按照“一厂一档”方式建立危险废物电子数据库，数据保存1</w:t>
      </w:r>
      <w:r>
        <w:rPr>
          <w:color w:val="auto"/>
        </w:rPr>
        <w:t>0</w:t>
      </w:r>
      <w:r>
        <w:rPr>
          <w:rFonts w:hint="eastAsia"/>
          <w:color w:val="auto"/>
        </w:rPr>
        <w:t>年以上。</w:t>
      </w:r>
    </w:p>
    <w:p w14:paraId="06DDCC6E">
      <w:pPr>
        <w:pStyle w:val="162"/>
        <w:rPr>
          <w:rFonts w:hint="default"/>
          <w:color w:val="auto"/>
          <w:lang w:val="en-US" w:eastAsia="zh-CN"/>
        </w:rPr>
      </w:pPr>
      <w:r>
        <w:rPr>
          <w:rFonts w:hint="eastAsia"/>
          <w:color w:val="auto"/>
          <w:lang w:val="en-US" w:eastAsia="zh-CN"/>
        </w:rPr>
        <w:t>应根据利用处置技术应用的实际需求及危险废物特性，对危险废物进行配伍，避免不相容危险废物混合后产生不良后果，在保证工艺条件的前提下确保危险废物处置运行的安全性和可靠性。</w:t>
      </w:r>
    </w:p>
    <w:p w14:paraId="04C3CC3B">
      <w:pPr>
        <w:pStyle w:val="104"/>
        <w:spacing w:before="312" w:after="312"/>
        <w:rPr>
          <w:color w:val="auto"/>
        </w:rPr>
      </w:pPr>
      <w:bookmarkStart w:id="51" w:name="_Toc162950395"/>
      <w:r>
        <w:rPr>
          <w:rFonts w:hint="eastAsia"/>
          <w:color w:val="auto"/>
        </w:rPr>
        <w:t>贮存</w:t>
      </w:r>
      <w:bookmarkEnd w:id="51"/>
    </w:p>
    <w:p w14:paraId="6C5B98DB">
      <w:pPr>
        <w:pStyle w:val="162"/>
        <w:rPr>
          <w:color w:val="auto"/>
        </w:rPr>
      </w:pPr>
      <w:r>
        <w:rPr>
          <w:rFonts w:hint="eastAsia"/>
          <w:color w:val="auto"/>
        </w:rPr>
        <w:t>危险废物贮存设施建设和管理应符合G</w:t>
      </w:r>
      <w:r>
        <w:rPr>
          <w:color w:val="auto"/>
        </w:rPr>
        <w:t>B18597</w:t>
      </w:r>
      <w:r>
        <w:rPr>
          <w:rFonts w:hint="eastAsia"/>
          <w:color w:val="auto"/>
        </w:rPr>
        <w:t>的相关要求，符合危险</w:t>
      </w:r>
      <w:r>
        <w:rPr>
          <w:rFonts w:hint="eastAsia"/>
          <w:color w:val="auto"/>
          <w:lang w:val="en-US" w:eastAsia="zh-CN"/>
        </w:rPr>
        <w:t>化学</w:t>
      </w:r>
      <w:r>
        <w:rPr>
          <w:rFonts w:hint="eastAsia"/>
          <w:color w:val="auto"/>
        </w:rPr>
        <w:t>品管理性质的危险废物应按照国家危险</w:t>
      </w:r>
      <w:r>
        <w:rPr>
          <w:rFonts w:hint="eastAsia"/>
          <w:color w:val="auto"/>
          <w:lang w:val="en-US" w:eastAsia="zh-CN"/>
        </w:rPr>
        <w:t>化学</w:t>
      </w:r>
      <w:r>
        <w:rPr>
          <w:rFonts w:hint="eastAsia"/>
          <w:color w:val="auto"/>
        </w:rPr>
        <w:t>品管理要求进行贮存管理。</w:t>
      </w:r>
    </w:p>
    <w:p w14:paraId="7E259C9E">
      <w:pPr>
        <w:pStyle w:val="162"/>
        <w:rPr>
          <w:color w:val="auto"/>
        </w:rPr>
      </w:pPr>
      <w:r>
        <w:rPr>
          <w:rFonts w:hint="eastAsia" w:hAnsi="Times New Roman" w:cs="Times New Roman"/>
          <w:color w:val="auto"/>
          <w:lang w:val="en-US" w:eastAsia="zh-CN"/>
        </w:rPr>
        <w:t>建立危险废物贮存风险分级管控制度</w:t>
      </w:r>
      <w:r>
        <w:rPr>
          <w:rFonts w:hint="eastAsia"/>
          <w:color w:val="auto"/>
          <w:lang w:val="en-US" w:eastAsia="zh-CN"/>
        </w:rPr>
        <w:t>，</w:t>
      </w:r>
      <w:r>
        <w:rPr>
          <w:rFonts w:hint="eastAsia"/>
          <w:color w:val="auto"/>
        </w:rPr>
        <w:t>涉及反应性、易燃性等</w:t>
      </w:r>
      <w:r>
        <w:rPr>
          <w:rFonts w:hint="eastAsia"/>
          <w:color w:val="auto"/>
          <w:lang w:val="en-US" w:eastAsia="zh-CN"/>
        </w:rPr>
        <w:t>废物特性不稳定的</w:t>
      </w:r>
      <w:r>
        <w:rPr>
          <w:rFonts w:hint="eastAsia"/>
          <w:color w:val="auto"/>
        </w:rPr>
        <w:t>危险废物应缩短贮存周期</w:t>
      </w:r>
      <w:r>
        <w:rPr>
          <w:rFonts w:hint="eastAsia" w:hAnsi="Times New Roman" w:cs="Times New Roman"/>
          <w:color w:val="auto"/>
          <w:lang w:val="en-US" w:eastAsia="zh-CN"/>
        </w:rPr>
        <w:t>、加强贮存污染防控措施，</w:t>
      </w:r>
      <w:r>
        <w:rPr>
          <w:rFonts w:hint="eastAsia"/>
          <w:color w:val="auto"/>
        </w:rPr>
        <w:t>并保证对其包装完整性、表面温度等状况进行巡查的便利性</w:t>
      </w:r>
      <w:r>
        <w:rPr>
          <w:rFonts w:hint="eastAsia"/>
          <w:color w:val="auto"/>
          <w:highlight w:val="none"/>
        </w:rPr>
        <w:t>，巡查次数每班</w:t>
      </w:r>
      <w:r>
        <w:rPr>
          <w:rFonts w:hint="eastAsia"/>
          <w:color w:val="auto"/>
          <w:highlight w:val="none"/>
          <w:lang w:val="en-US" w:eastAsia="zh-CN"/>
        </w:rPr>
        <w:t>至少1</w:t>
      </w:r>
      <w:r>
        <w:rPr>
          <w:rFonts w:hint="eastAsia"/>
          <w:color w:val="auto"/>
          <w:highlight w:val="none"/>
        </w:rPr>
        <w:t>次</w:t>
      </w:r>
      <w:r>
        <w:rPr>
          <w:rFonts w:hint="eastAsia"/>
          <w:color w:val="auto"/>
          <w:lang w:eastAsia="zh-CN"/>
        </w:rPr>
        <w:t>，</w:t>
      </w:r>
      <w:r>
        <w:rPr>
          <w:rFonts w:hint="eastAsia"/>
          <w:color w:val="auto"/>
        </w:rPr>
        <w:t>巡查及处置记录应保存</w:t>
      </w:r>
      <w:r>
        <w:rPr>
          <w:rFonts w:hint="eastAsia"/>
          <w:color w:val="auto"/>
          <w:lang w:val="en-US" w:eastAsia="zh-CN"/>
        </w:rPr>
        <w:t>5</w:t>
      </w:r>
      <w:r>
        <w:rPr>
          <w:rFonts w:hint="eastAsia"/>
          <w:color w:val="auto"/>
        </w:rPr>
        <w:t>年以上</w:t>
      </w:r>
      <w:r>
        <w:rPr>
          <w:rFonts w:hint="eastAsia"/>
          <w:color w:val="auto"/>
          <w:lang w:eastAsia="zh-CN"/>
        </w:rPr>
        <w:t>。</w:t>
      </w:r>
      <w:r>
        <w:rPr>
          <w:rFonts w:hint="eastAsia"/>
          <w:color w:val="auto"/>
          <w:lang w:val="en-US" w:eastAsia="zh-CN"/>
        </w:rPr>
        <w:t>若利用处置设施因故停运，应提前调整贮存计划，避免超期贮存。</w:t>
      </w:r>
    </w:p>
    <w:p w14:paraId="2DE9F7B8">
      <w:pPr>
        <w:pStyle w:val="162"/>
        <w:rPr>
          <w:rFonts w:hint="eastAsia"/>
          <w:color w:val="auto"/>
          <w:lang w:val="en-US" w:eastAsia="zh-CN"/>
        </w:rPr>
      </w:pPr>
      <w:r>
        <w:rPr>
          <w:rFonts w:hint="eastAsia"/>
          <w:color w:val="auto"/>
          <w:lang w:val="en-US" w:eastAsia="zh-CN"/>
        </w:rPr>
        <w:t>危险废物</w:t>
      </w:r>
      <w:r>
        <w:rPr>
          <w:rFonts w:hint="eastAsia"/>
          <w:color w:val="auto"/>
        </w:rPr>
        <w:t>贮存过程中若出现发热、胀桶</w:t>
      </w:r>
      <w:r>
        <w:rPr>
          <w:rFonts w:hint="eastAsia"/>
          <w:color w:val="auto"/>
          <w:lang w:eastAsia="zh-CN"/>
        </w:rPr>
        <w:t>、</w:t>
      </w:r>
      <w:r>
        <w:rPr>
          <w:rFonts w:hint="eastAsia"/>
          <w:color w:val="auto"/>
          <w:lang w:val="en-US" w:eastAsia="zh-CN"/>
        </w:rPr>
        <w:t>溢出</w:t>
      </w:r>
      <w:r>
        <w:rPr>
          <w:rFonts w:hint="eastAsia"/>
          <w:color w:val="auto"/>
        </w:rPr>
        <w:t>等异常现象应立即按照应急预案妥善处置，</w:t>
      </w:r>
      <w:r>
        <w:rPr>
          <w:rFonts w:hint="eastAsia"/>
          <w:color w:val="auto"/>
          <w:lang w:val="en-US" w:eastAsia="zh-CN"/>
        </w:rPr>
        <w:t>贮存设施内应在明显位置存放应急响应程序图或行动表。</w:t>
      </w:r>
    </w:p>
    <w:p w14:paraId="172ECD25">
      <w:pPr>
        <w:pStyle w:val="104"/>
        <w:spacing w:before="312" w:after="312"/>
        <w:rPr>
          <w:color w:val="auto"/>
        </w:rPr>
      </w:pPr>
      <w:bookmarkStart w:id="52" w:name="_Toc162950396"/>
      <w:r>
        <w:rPr>
          <w:rFonts w:hint="eastAsia"/>
          <w:color w:val="auto"/>
        </w:rPr>
        <w:t>物化处理</w:t>
      </w:r>
      <w:bookmarkEnd w:id="52"/>
    </w:p>
    <w:p w14:paraId="59941064">
      <w:pPr>
        <w:pStyle w:val="162"/>
      </w:pPr>
      <w:r>
        <w:rPr>
          <w:rFonts w:hint="eastAsia"/>
        </w:rPr>
        <w:t>中和工艺装置和管路应根据物料特性和反应条件选择防腐蚀、耐温、抗压材料，并安装液位、p</w:t>
      </w:r>
      <w:r>
        <w:t>H</w:t>
      </w:r>
      <w:r>
        <w:rPr>
          <w:rFonts w:hint="eastAsia"/>
        </w:rPr>
        <w:t>和温度在线监控系统。</w:t>
      </w:r>
    </w:p>
    <w:p w14:paraId="4137B1A1">
      <w:pPr>
        <w:pStyle w:val="162"/>
      </w:pPr>
      <w:r>
        <w:rPr>
          <w:rFonts w:hint="eastAsia"/>
        </w:rPr>
        <w:t>絮凝沉淀工艺装置应设置p</w:t>
      </w:r>
      <w:r>
        <w:t>H</w:t>
      </w:r>
      <w:r>
        <w:rPr>
          <w:rFonts w:hint="eastAsia"/>
        </w:rPr>
        <w:t>自动控制仪、浊度仪、氧化还原电位测定仪等设备，与加药计量泵耦合并定期校准，原则上不得人工投料。</w:t>
      </w:r>
    </w:p>
    <w:p w14:paraId="1AFECF28">
      <w:pPr>
        <w:pStyle w:val="162"/>
        <w:rPr>
          <w:rFonts w:hint="eastAsia"/>
          <w:color w:val="auto"/>
          <w:lang w:val="en-US" w:eastAsia="zh-CN"/>
        </w:rPr>
      </w:pPr>
      <w:r>
        <w:rPr>
          <w:rFonts w:hint="eastAsia"/>
        </w:rPr>
        <w:t>氧化、还原工艺装置</w:t>
      </w:r>
      <w:r>
        <w:rPr>
          <w:rFonts w:hint="eastAsia"/>
          <w:color w:val="auto"/>
        </w:rPr>
        <w:t>应根据待处理危险废物特性设定针对性的粒度、固液比、p</w:t>
      </w:r>
      <w:r>
        <w:rPr>
          <w:color w:val="auto"/>
        </w:rPr>
        <w:t>H</w:t>
      </w:r>
      <w:r>
        <w:rPr>
          <w:rFonts w:hint="eastAsia"/>
          <w:color w:val="auto"/>
        </w:rPr>
        <w:t>、反应时间、氧化还原电位等工艺参数，并进行有效控制。</w:t>
      </w:r>
      <w:r>
        <w:rPr>
          <w:rFonts w:hint="eastAsia"/>
          <w:color w:val="auto"/>
          <w:lang w:val="en-US" w:eastAsia="zh-CN"/>
        </w:rPr>
        <w:t>物化处理过程中的氧化剂、还原剂使用应符合HJ1091中相关规定。</w:t>
      </w:r>
    </w:p>
    <w:p w14:paraId="043A6363">
      <w:pPr>
        <w:pStyle w:val="162"/>
        <w:rPr>
          <w:highlight w:val="none"/>
        </w:rPr>
      </w:pPr>
      <w:r>
        <w:rPr>
          <w:rFonts w:hint="eastAsia"/>
          <w:color w:val="auto"/>
          <w:highlight w:val="none"/>
        </w:rPr>
        <w:t>蒸发结晶系统应根据物料</w:t>
      </w:r>
      <w:r>
        <w:rPr>
          <w:rFonts w:hint="eastAsia"/>
          <w:highlight w:val="none"/>
        </w:rPr>
        <w:t>特性选择防腐蚀材料和蒸发形式，并做好出盐区域的防风、防雨、防渗措施。</w:t>
      </w:r>
    </w:p>
    <w:p w14:paraId="0C003372">
      <w:pPr>
        <w:pStyle w:val="104"/>
        <w:spacing w:before="312" w:after="312"/>
      </w:pPr>
      <w:bookmarkStart w:id="53" w:name="_Toc162950397"/>
      <w:r>
        <w:rPr>
          <w:rFonts w:hint="eastAsia"/>
        </w:rPr>
        <w:t>综合利用</w:t>
      </w:r>
      <w:bookmarkEnd w:id="53"/>
    </w:p>
    <w:p w14:paraId="654D874A">
      <w:pPr>
        <w:pStyle w:val="105"/>
        <w:spacing w:before="156" w:after="156"/>
      </w:pPr>
      <w:bookmarkStart w:id="54" w:name="_Toc162950398"/>
      <w:r>
        <w:rPr>
          <w:rFonts w:hint="eastAsia"/>
        </w:rPr>
        <w:t>一般要求</w:t>
      </w:r>
      <w:bookmarkEnd w:id="54"/>
    </w:p>
    <w:p w14:paraId="0931BBC6">
      <w:pPr>
        <w:pStyle w:val="165"/>
      </w:pPr>
      <w:r>
        <w:rPr>
          <w:rFonts w:hint="eastAsia"/>
        </w:rPr>
        <w:t>危险废物综合利用应符合G</w:t>
      </w:r>
      <w:r>
        <w:t>B</w:t>
      </w:r>
      <w:r>
        <w:rPr>
          <w:rFonts w:hint="eastAsia"/>
          <w:lang w:val="en-US" w:eastAsia="zh-CN"/>
        </w:rPr>
        <w:t>5085</w:t>
      </w:r>
      <w:r>
        <w:rPr>
          <w:rFonts w:hint="eastAsia"/>
        </w:rPr>
        <w:t>和H</w:t>
      </w:r>
      <w:r>
        <w:t>J1091</w:t>
      </w:r>
      <w:r>
        <w:rPr>
          <w:rFonts w:hint="eastAsia"/>
        </w:rPr>
        <w:t>的相关要求，保证危险废物综合利用全过程的环境风险可控。</w:t>
      </w:r>
    </w:p>
    <w:p w14:paraId="4D19D71F">
      <w:pPr>
        <w:pStyle w:val="165"/>
      </w:pPr>
      <w:r>
        <w:rPr>
          <w:rFonts w:hint="eastAsia"/>
        </w:rPr>
        <w:t>综合利用工程应由具备相应设计资质的单位设计，生产及辅助车间的设计应满足企业综合利用工艺技术要求。</w:t>
      </w:r>
    </w:p>
    <w:p w14:paraId="361940C6">
      <w:pPr>
        <w:pStyle w:val="105"/>
        <w:spacing w:before="156" w:after="156"/>
      </w:pPr>
      <w:bookmarkStart w:id="55" w:name="_Toc162950399"/>
      <w:r>
        <w:rPr>
          <w:rFonts w:hint="eastAsia"/>
        </w:rPr>
        <w:t>综合利用产物要求</w:t>
      </w:r>
      <w:bookmarkEnd w:id="55"/>
    </w:p>
    <w:p w14:paraId="776F4345">
      <w:pPr>
        <w:pStyle w:val="165"/>
      </w:pPr>
      <w:r>
        <w:rPr>
          <w:rFonts w:hint="eastAsia"/>
        </w:rPr>
        <w:t>应建立综合利用产物的生产台账记录制度，内容包括综合利用产物生产时间、批次编码、容器/包装编码、容器/包装类型、容器/包装数量、危险废物名称、危险废物类别、危险废物代码、综合利用数量、计量单位、利用方式、接收单位类型、接收用途等，进行月度和年度汇总。</w:t>
      </w:r>
    </w:p>
    <w:p w14:paraId="484C6645">
      <w:pPr>
        <w:pStyle w:val="165"/>
      </w:pPr>
      <w:r>
        <w:rPr>
          <w:rFonts w:hint="eastAsia"/>
        </w:rPr>
        <w:t>综合利用产物不应在生态保护红线区域及其他需要特别保护的区域使用，也不应用作与人体直接接触产品的替代原辅料，或流向饮用水、食品、药品、养殖及种植等相关行业。满足国家专用标准和国家、地方许可的除外。</w:t>
      </w:r>
    </w:p>
    <w:p w14:paraId="70E0187C">
      <w:pPr>
        <w:pStyle w:val="165"/>
        <w:rPr>
          <w:color w:val="000000" w:themeColor="text1"/>
          <w14:textFill>
            <w14:solidFill>
              <w14:schemeClr w14:val="tx1"/>
            </w14:solidFill>
          </w14:textFill>
        </w:rPr>
      </w:pPr>
      <w:r>
        <w:rPr>
          <w:rFonts w:hint="eastAsia"/>
        </w:rPr>
        <w:t>作为产品管理的综合利用产物，应符合G</w:t>
      </w:r>
      <w:r>
        <w:t>B34330</w:t>
      </w:r>
      <w:r>
        <w:rPr>
          <w:rFonts w:hint="eastAsia"/>
        </w:rPr>
        <w:t>中要求的国家、地方制定或行业通行的产品质量标准，与国家相关污染控制标准或技术规范要求，包括该产物生产过程中排放到环境中的特征污染物含量标准和该产物中特征污染物的含量标准，当没有国家污染控制标准或技术规范时</w:t>
      </w:r>
      <w:r>
        <w:rPr>
          <w:rFonts w:hint="eastAsia"/>
          <w:color w:val="0000FF"/>
        </w:rPr>
        <w:t>，</w:t>
      </w:r>
      <w:r>
        <w:rPr>
          <w:rFonts w:hint="eastAsia"/>
          <w:color w:val="000000" w:themeColor="text1"/>
          <w:lang w:val="en-US" w:eastAsia="zh-CN"/>
          <w14:textFill>
            <w14:solidFill>
              <w14:schemeClr w14:val="tx1"/>
            </w14:solidFill>
          </w14:textFill>
        </w:rPr>
        <w:t>可参考地方标准相关要求</w:t>
      </w:r>
      <w:r>
        <w:rPr>
          <w:rFonts w:hint="eastAsia"/>
          <w:color w:val="000000" w:themeColor="text1"/>
          <w14:textFill>
            <w14:solidFill>
              <w14:schemeClr w14:val="tx1"/>
            </w14:solidFill>
          </w14:textFill>
        </w:rPr>
        <w:t>。</w:t>
      </w:r>
    </w:p>
    <w:p w14:paraId="1C3B434C">
      <w:pPr>
        <w:pStyle w:val="165"/>
      </w:pPr>
      <w:r>
        <w:rPr>
          <w:rFonts w:hint="eastAsia"/>
        </w:rPr>
        <w:t>不满足8</w:t>
      </w:r>
      <w:r>
        <w:t>.2.3</w:t>
      </w:r>
      <w:r>
        <w:rPr>
          <w:rFonts w:hint="eastAsia"/>
        </w:rPr>
        <w:t>规定的综合利用产物应根据其使用途径，采</w:t>
      </w:r>
      <w:r>
        <w:rPr>
          <w:rFonts w:hint="eastAsia"/>
          <w:highlight w:val="none"/>
        </w:rPr>
        <w:t>取以下分级管控措施：</w:t>
      </w:r>
    </w:p>
    <w:p w14:paraId="7F73E118">
      <w:pPr>
        <w:pStyle w:val="174"/>
        <w:numPr>
          <w:ilvl w:val="0"/>
          <w:numId w:val="32"/>
        </w:numPr>
      </w:pPr>
      <w:r>
        <w:rPr>
          <w:rFonts w:hint="eastAsia"/>
        </w:rPr>
        <w:t>采用“再生回用”或“定向利用”的方式时，可在满足相关管理部门要求的前提下，直接提供给使用其作为替代原辅料进行工业生产或污染治理的单位；</w:t>
      </w:r>
    </w:p>
    <w:p w14:paraId="222389AC">
      <w:pPr>
        <w:pStyle w:val="174"/>
      </w:pPr>
      <w:r>
        <w:rPr>
          <w:rFonts w:hint="eastAsia"/>
        </w:rPr>
        <w:t>在不采用“再生回用”或“定向利用”的方式时，应按H</w:t>
      </w:r>
      <w:r>
        <w:t>J</w:t>
      </w:r>
      <w:r>
        <w:rPr>
          <w:rFonts w:hint="eastAsia"/>
        </w:rPr>
        <w:t xml:space="preserve"> </w:t>
      </w:r>
      <w:r>
        <w:t>1091</w:t>
      </w:r>
      <w:r>
        <w:rPr>
          <w:rFonts w:hint="eastAsia"/>
        </w:rPr>
        <w:t>的相关要求开展环境风险定性及定量评价，在环境风险可接受前提下确定综合利用产物的使用行业及用途。有特定危险废物综合利用污染控制标准或技术规范的，可按特定标准或技术规范执行。</w:t>
      </w:r>
    </w:p>
    <w:p w14:paraId="70576BAD">
      <w:pPr>
        <w:pStyle w:val="165"/>
      </w:pPr>
      <w:r>
        <w:rPr>
          <w:rFonts w:hint="eastAsia"/>
        </w:rPr>
        <w:t>应按照H</w:t>
      </w:r>
      <w:r>
        <w:t>J</w:t>
      </w:r>
      <w:r>
        <w:rPr>
          <w:rFonts w:hint="eastAsia"/>
        </w:rPr>
        <w:t xml:space="preserve"> </w:t>
      </w:r>
      <w:r>
        <w:t>1091-2020</w:t>
      </w:r>
      <w:r>
        <w:rPr>
          <w:rFonts w:hint="eastAsia"/>
        </w:rPr>
        <w:t>中8</w:t>
      </w:r>
      <w:r>
        <w:t>.1</w:t>
      </w:r>
      <w:r>
        <w:rPr>
          <w:rFonts w:hint="eastAsia"/>
        </w:rPr>
        <w:t>规定的监测要求及频次，定期对综合利用产物中的特征污染物或有害成分进行采样监测。</w:t>
      </w:r>
    </w:p>
    <w:p w14:paraId="6247A347">
      <w:pPr>
        <w:pStyle w:val="165"/>
      </w:pPr>
      <w:r>
        <w:rPr>
          <w:rFonts w:hint="eastAsia"/>
        </w:rPr>
        <w:t>综合利用产物进入市场流通前</w:t>
      </w:r>
      <w:r>
        <w:rPr>
          <w:rFonts w:hint="eastAsia"/>
          <w:color w:val="auto"/>
        </w:rPr>
        <w:t>，</w:t>
      </w:r>
      <w:r>
        <w:rPr>
          <w:rFonts w:hint="eastAsia" w:ascii="宋体" w:hAnsi="Times New Roman" w:eastAsia="宋体" w:cs="Times New Roman"/>
          <w:color w:val="auto"/>
          <w:sz w:val="21"/>
          <w:lang w:val="en-US" w:eastAsia="zh-CN" w:bidi="ar-SA"/>
        </w:rPr>
        <w:t>应定期对特征污染物进行检测分析，并在</w:t>
      </w:r>
      <w:r>
        <w:rPr>
          <w:rFonts w:hint="eastAsia"/>
          <w:color w:val="auto"/>
          <w:highlight w:val="none"/>
        </w:rPr>
        <w:t>使</w:t>
      </w:r>
      <w:r>
        <w:rPr>
          <w:rFonts w:hint="eastAsia"/>
          <w:highlight w:val="none"/>
        </w:rPr>
        <w:t>用</w:t>
      </w:r>
      <w:r>
        <w:rPr>
          <w:rFonts w:hint="eastAsia"/>
        </w:rPr>
        <w:t>说明书上明确标注生产厂家名称、来源危险废物类别、主要组分及特征污染因子、使用行业范围及用途等信息。</w:t>
      </w:r>
    </w:p>
    <w:p w14:paraId="02842A5D">
      <w:pPr>
        <w:pStyle w:val="165"/>
      </w:pPr>
      <w:r>
        <w:rPr>
          <w:rFonts w:hint="eastAsia"/>
        </w:rPr>
        <w:t>综合利用企业应在官方网站或其他便于公众查阅的媒体上，按季度公开综合利用产物相关信息，包括执行的产品质量标准及污染控制标准、主要有害杂质含量、综合利用产物流向等，按年度公开使用8</w:t>
      </w:r>
      <w:r>
        <w:t>.2.4</w:t>
      </w:r>
      <w:r>
        <w:rPr>
          <w:rFonts w:hint="eastAsia"/>
        </w:rPr>
        <w:t>中综合利用产物的企业相关信息，包括综合利用产物的来源、接收量、使用量、贮存量、使用方式等。</w:t>
      </w:r>
    </w:p>
    <w:p w14:paraId="2707E7BE">
      <w:pPr>
        <w:pStyle w:val="104"/>
        <w:spacing w:before="312" w:after="312"/>
      </w:pPr>
      <w:bookmarkStart w:id="56" w:name="_Toc162950400"/>
      <w:r>
        <w:rPr>
          <w:rFonts w:hint="eastAsia"/>
        </w:rPr>
        <w:t>焚烧</w:t>
      </w:r>
      <w:bookmarkEnd w:id="56"/>
    </w:p>
    <w:p w14:paraId="67C8F9AB">
      <w:pPr>
        <w:pStyle w:val="105"/>
        <w:spacing w:before="156" w:after="156"/>
      </w:pPr>
      <w:bookmarkStart w:id="57" w:name="_Toc162950401"/>
      <w:r>
        <w:rPr>
          <w:rFonts w:hint="eastAsia"/>
        </w:rPr>
        <w:t>进料要求</w:t>
      </w:r>
      <w:bookmarkEnd w:id="57"/>
    </w:p>
    <w:p w14:paraId="4FDD86E5">
      <w:pPr>
        <w:pStyle w:val="165"/>
      </w:pPr>
      <w:r>
        <w:rPr>
          <w:rFonts w:hint="eastAsia"/>
        </w:rPr>
        <w:t>应根据入厂检测数据，对拟配伍的液态、半固态危险废物进行相容性试验，对固态危险废物进行配伍评估。</w:t>
      </w:r>
    </w:p>
    <w:p w14:paraId="7D6E2AD7">
      <w:pPr>
        <w:pStyle w:val="165"/>
      </w:pPr>
      <w:r>
        <w:rPr>
          <w:rFonts w:hint="eastAsia"/>
        </w:rPr>
        <w:t>应根据入厂检测数据、相容性试验或评估结果进行拟入炉危险废物配伍，以使其热值、主要有机有害成分含量、氯含量、重金属含量、碱金属（钠、钾）、硫含量、水分和灰分符合焚烧设施的设计要求，配伍信息应保存1</w:t>
      </w:r>
      <w:r>
        <w:t>0</w:t>
      </w:r>
      <w:r>
        <w:rPr>
          <w:rFonts w:hint="eastAsia"/>
        </w:rPr>
        <w:t>年以上。</w:t>
      </w:r>
    </w:p>
    <w:p w14:paraId="4E509A41">
      <w:pPr>
        <w:pStyle w:val="165"/>
      </w:pPr>
      <w:r>
        <w:rPr>
          <w:rFonts w:hint="eastAsia"/>
        </w:rPr>
        <w:t>焚烧设施料坑及其配套的暂存、配伍及进料区域应安装温度红外监测、自动火焰探测及自动灭火等系统。</w:t>
      </w:r>
    </w:p>
    <w:p w14:paraId="5F5D3716">
      <w:pPr>
        <w:pStyle w:val="105"/>
        <w:spacing w:before="156" w:after="156"/>
      </w:pPr>
      <w:bookmarkStart w:id="58" w:name="_Toc162950402"/>
      <w:r>
        <w:rPr>
          <w:rFonts w:hint="eastAsia"/>
        </w:rPr>
        <w:t>运行要求</w:t>
      </w:r>
      <w:bookmarkEnd w:id="58"/>
    </w:p>
    <w:p w14:paraId="2A114236">
      <w:pPr>
        <w:pStyle w:val="165"/>
      </w:pPr>
      <w:r>
        <w:rPr>
          <w:rFonts w:hint="eastAsia"/>
        </w:rPr>
        <w:t>炉渣热灼减率检测频率不应小于每班1次，并由专职分析人员取样、分析。</w:t>
      </w:r>
    </w:p>
    <w:p w14:paraId="2B83D635">
      <w:pPr>
        <w:pStyle w:val="165"/>
      </w:pPr>
      <w:r>
        <w:rPr>
          <w:rFonts w:hint="eastAsia"/>
        </w:rPr>
        <w:t>炉渣、飞灰宜采用高温熔融、水泥窑协同处置等非填埋方式规范利用与处置。</w:t>
      </w:r>
    </w:p>
    <w:p w14:paraId="544DDEF9">
      <w:pPr>
        <w:pStyle w:val="165"/>
      </w:pPr>
      <w:r>
        <w:rPr>
          <w:rFonts w:hint="eastAsia"/>
        </w:rPr>
        <w:t>应设置独立于分散控制系统的紧急停车系统，并保存及上报紧急停车时运行参数及污染物排放数据。</w:t>
      </w:r>
    </w:p>
    <w:p w14:paraId="53B33DED">
      <w:pPr>
        <w:pStyle w:val="105"/>
        <w:spacing w:before="156" w:after="156"/>
      </w:pPr>
      <w:bookmarkStart w:id="59" w:name="_Toc162950403"/>
      <w:r>
        <w:t>二噁英控制要求</w:t>
      </w:r>
      <w:bookmarkEnd w:id="59"/>
    </w:p>
    <w:p w14:paraId="2E4DD63A">
      <w:pPr>
        <w:pStyle w:val="165"/>
      </w:pPr>
      <w:r>
        <w:rPr>
          <w:rFonts w:hint="eastAsia"/>
        </w:rPr>
        <w:t>焚烧设施的二次燃烧室、急冷装置烟气温度及停留时间等二噁英控制措施应符合G</w:t>
      </w:r>
      <w:r>
        <w:t>B</w:t>
      </w:r>
      <w:r>
        <w:rPr>
          <w:rFonts w:hint="eastAsia"/>
        </w:rPr>
        <w:t xml:space="preserve"> </w:t>
      </w:r>
      <w:r>
        <w:t>18484</w:t>
      </w:r>
      <w:r>
        <w:rPr>
          <w:rFonts w:hint="eastAsia"/>
        </w:rPr>
        <w:t>及H</w:t>
      </w:r>
      <w:r>
        <w:t>J/T176</w:t>
      </w:r>
      <w:r>
        <w:rPr>
          <w:rFonts w:hint="eastAsia"/>
        </w:rPr>
        <w:t>要求，并配备相关烟气温度及停留时间等工况自动监测系统。</w:t>
      </w:r>
    </w:p>
    <w:p w14:paraId="6B82D9C5">
      <w:pPr>
        <w:pStyle w:val="165"/>
      </w:pPr>
      <w:r>
        <w:rPr>
          <w:rFonts w:hint="eastAsia"/>
        </w:rPr>
        <w:t>烟气净化喷入的活性炭或多孔吸附剂应明确产品采购质量标准，兼顾去除重金属及二噁英的功能。其中，活性炭目数应不小于2</w:t>
      </w:r>
      <w:r>
        <w:t>00</w:t>
      </w:r>
      <w:r>
        <w:rPr>
          <w:rFonts w:hint="eastAsia"/>
        </w:rPr>
        <w:t>目，碘吸附值应不小于8</w:t>
      </w:r>
      <w:r>
        <w:t>00mg/</w:t>
      </w:r>
      <w:r>
        <w:rPr>
          <w:rFonts w:hint="eastAsia"/>
        </w:rPr>
        <w:t>g，使用量按实际烟气应不小于0</w:t>
      </w:r>
      <w:r>
        <w:t>.05g/Nm</w:t>
      </w:r>
      <w:r>
        <w:rPr>
          <w:vertAlign w:val="superscript"/>
        </w:rPr>
        <w:t>3</w:t>
      </w:r>
      <w:r>
        <w:rPr>
          <w:rFonts w:hint="eastAsia"/>
        </w:rPr>
        <w:t>，并在运行中做好使用记录。</w:t>
      </w:r>
    </w:p>
    <w:p w14:paraId="13867A85">
      <w:pPr>
        <w:pStyle w:val="165"/>
      </w:pPr>
      <w:r>
        <w:rPr>
          <w:rFonts w:hint="eastAsia"/>
        </w:rPr>
        <w:t>焚烧设施启炉、停炉、故障及事故工况的起止时间，应向属地生态环境主管部门报备。</w:t>
      </w:r>
    </w:p>
    <w:p w14:paraId="7F43848F">
      <w:pPr>
        <w:pStyle w:val="104"/>
        <w:spacing w:before="312" w:after="312"/>
      </w:pPr>
      <w:bookmarkStart w:id="60" w:name="_Toc162950404"/>
      <w:r>
        <w:t>填埋</w:t>
      </w:r>
      <w:bookmarkEnd w:id="60"/>
    </w:p>
    <w:p w14:paraId="5C8C196A">
      <w:pPr>
        <w:pStyle w:val="105"/>
        <w:spacing w:before="156" w:after="156"/>
      </w:pPr>
      <w:bookmarkStart w:id="61" w:name="_Toc162950405"/>
      <w:r>
        <w:rPr>
          <w:rFonts w:hint="eastAsia"/>
        </w:rPr>
        <w:t>一般要求</w:t>
      </w:r>
      <w:bookmarkEnd w:id="61"/>
    </w:p>
    <w:p w14:paraId="13DF54E1">
      <w:pPr>
        <w:pStyle w:val="165"/>
      </w:pPr>
      <w:r>
        <w:rPr>
          <w:rFonts w:hint="eastAsia"/>
        </w:rPr>
        <w:t>应按照G</w:t>
      </w:r>
      <w:r>
        <w:t>B18598</w:t>
      </w:r>
      <w:r>
        <w:rPr>
          <w:rFonts w:hint="eastAsia"/>
        </w:rPr>
        <w:t>有关规定进行选址、建设和管理。应根据服务范围内的危险废物类别、产生情况、填埋需求、发展规划以及变化趋势等因素综合考虑确定填埋规模，可使用库容和扩建场地应保证填埋场建成后具有1</w:t>
      </w:r>
      <w:r>
        <w:t>0</w:t>
      </w:r>
      <w:r>
        <w:rPr>
          <w:rFonts w:hint="eastAsia"/>
        </w:rPr>
        <w:t>年及以上的使用期，可依据实际情况分期建设。</w:t>
      </w:r>
    </w:p>
    <w:p w14:paraId="2F1436A4">
      <w:pPr>
        <w:pStyle w:val="165"/>
      </w:pPr>
      <w:r>
        <w:rPr>
          <w:rFonts w:hint="eastAsia"/>
        </w:rPr>
        <w:t>填埋场设计应有利于以后可能的废物回取操作。</w:t>
      </w:r>
    </w:p>
    <w:p w14:paraId="015450CE">
      <w:pPr>
        <w:pStyle w:val="165"/>
      </w:pPr>
      <w:r>
        <w:rPr>
          <w:rFonts w:hint="eastAsia"/>
        </w:rPr>
        <w:t>填埋场有组织气体和无组织气体排放应符合G</w:t>
      </w:r>
      <w:r>
        <w:t>B14554</w:t>
      </w:r>
      <w:r>
        <w:rPr>
          <w:rFonts w:hint="eastAsia"/>
        </w:rPr>
        <w:t>、G</w:t>
      </w:r>
      <w:r>
        <w:t>B16297</w:t>
      </w:r>
      <w:r>
        <w:rPr>
          <w:rFonts w:hint="eastAsia"/>
        </w:rPr>
        <w:t>、G</w:t>
      </w:r>
      <w:r>
        <w:t>B37822</w:t>
      </w:r>
      <w:r>
        <w:rPr>
          <w:rFonts w:hint="eastAsia"/>
        </w:rPr>
        <w:t>的相关要求。</w:t>
      </w:r>
    </w:p>
    <w:p w14:paraId="59A22511">
      <w:pPr>
        <w:pStyle w:val="165"/>
      </w:pPr>
      <w:r>
        <w:rPr>
          <w:rFonts w:hint="eastAsia"/>
          <w:lang w:val="en-US" w:eastAsia="zh-CN"/>
        </w:rPr>
        <w:t>填埋场产生的渗滤液（调节池废水）等污水必须经过处理，并符合GB18598规定的污染物排放控制要求后方可排放，禁止渗滤液回灌。</w:t>
      </w:r>
    </w:p>
    <w:p w14:paraId="788BBEFD">
      <w:pPr>
        <w:pStyle w:val="165"/>
      </w:pPr>
      <w:r>
        <w:rPr>
          <w:rFonts w:hint="eastAsia"/>
        </w:rPr>
        <w:t>应建立并永久保存填埋场的全部档案，包括选址、勘察、征地、设计、施工、验收、运行管理、封场及封场后管理、监测以及应急处置等全过程文件资料。关键运行信息可与属地生态环境主管部门联网，实现危险废物填埋全过程可追溯。</w:t>
      </w:r>
    </w:p>
    <w:p w14:paraId="7EBACCC0">
      <w:pPr>
        <w:pStyle w:val="105"/>
        <w:spacing w:before="156" w:after="156"/>
      </w:pPr>
      <w:bookmarkStart w:id="62" w:name="_Toc162950406"/>
      <w:r>
        <w:rPr>
          <w:rFonts w:hint="eastAsia"/>
        </w:rPr>
        <w:t>柔性填埋场</w:t>
      </w:r>
      <w:bookmarkEnd w:id="62"/>
    </w:p>
    <w:p w14:paraId="6CC6FCC2">
      <w:pPr>
        <w:pStyle w:val="165"/>
      </w:pPr>
      <w:r>
        <w:rPr>
          <w:rFonts w:hint="eastAsia"/>
        </w:rPr>
        <w:t>应建设必要的预处理设施保证填埋废物符合G</w:t>
      </w:r>
      <w:r>
        <w:t>B18598</w:t>
      </w:r>
      <w:r>
        <w:rPr>
          <w:rFonts w:hint="eastAsia"/>
        </w:rPr>
        <w:t>入场要求。</w:t>
      </w:r>
    </w:p>
    <w:p w14:paraId="58636C5E">
      <w:pPr>
        <w:pStyle w:val="165"/>
      </w:pPr>
      <w:r>
        <w:rPr>
          <w:rFonts w:hint="eastAsia"/>
        </w:rPr>
        <w:t>防渗系统应符合G</w:t>
      </w:r>
      <w:r>
        <w:t>B18598</w:t>
      </w:r>
      <w:r>
        <w:rPr>
          <w:rFonts w:hint="eastAsia"/>
        </w:rPr>
        <w:t>及H</w:t>
      </w:r>
      <w:r>
        <w:t>J2042</w:t>
      </w:r>
      <w:r>
        <w:rPr>
          <w:rFonts w:hint="eastAsia"/>
        </w:rPr>
        <w:t>要求。</w:t>
      </w:r>
    </w:p>
    <w:p w14:paraId="6CFCFF1E">
      <w:pPr>
        <w:pStyle w:val="165"/>
      </w:pPr>
      <w:r>
        <w:rPr>
          <w:rFonts w:hint="eastAsia"/>
        </w:rPr>
        <w:t>位于上衬层和下衬层之间的次级集排水系统，可作为渗漏检测层用于监测上衬层的运行状况。</w:t>
      </w:r>
    </w:p>
    <w:p w14:paraId="70A203A7">
      <w:pPr>
        <w:pStyle w:val="165"/>
      </w:pPr>
      <w:r>
        <w:rPr>
          <w:rFonts w:hint="eastAsia"/>
        </w:rPr>
        <w:t>柔性填埋场作业单元应采用高密度聚乙烯膜等人工材料进行严密的临时覆盖，实现雨污分流。</w:t>
      </w:r>
    </w:p>
    <w:p w14:paraId="2EB13859">
      <w:pPr>
        <w:pStyle w:val="165"/>
      </w:pPr>
      <w:r>
        <w:rPr>
          <w:rFonts w:hint="eastAsia"/>
        </w:rPr>
        <w:t>现有柔性填埋场防渗结构底部不符合G</w:t>
      </w:r>
      <w:r>
        <w:t>B18598</w:t>
      </w:r>
      <w:r>
        <w:rPr>
          <w:rFonts w:hint="eastAsia"/>
        </w:rPr>
        <w:t>要求的，应加强填埋场环境风险性能评估，并根据评估结果确定填埋场后续运行计划以及必要的措施，以降低渗滤液污染环境风险。</w:t>
      </w:r>
    </w:p>
    <w:p w14:paraId="361E4CAD">
      <w:pPr>
        <w:pStyle w:val="165"/>
      </w:pPr>
      <w:r>
        <w:rPr>
          <w:rFonts w:hint="eastAsia"/>
        </w:rPr>
        <w:t>宜设置渗滤液收集管网风险防范措施。</w:t>
      </w:r>
    </w:p>
    <w:p w14:paraId="0061DB87">
      <w:pPr>
        <w:pStyle w:val="105"/>
        <w:spacing w:before="156" w:after="156"/>
        <w:rPr>
          <w:highlight w:val="none"/>
        </w:rPr>
      </w:pPr>
      <w:bookmarkStart w:id="63" w:name="_Toc162950407"/>
      <w:r>
        <w:rPr>
          <w:rFonts w:hint="eastAsia"/>
          <w:highlight w:val="none"/>
        </w:rPr>
        <w:t>刚性填埋场</w:t>
      </w:r>
      <w:bookmarkEnd w:id="63"/>
    </w:p>
    <w:p w14:paraId="5CE15C2B">
      <w:pPr>
        <w:pStyle w:val="165"/>
      </w:pPr>
      <w:r>
        <w:rPr>
          <w:rFonts w:hint="eastAsia"/>
        </w:rPr>
        <w:t>填埋废物应符合G</w:t>
      </w:r>
      <w:r>
        <w:t>B18598</w:t>
      </w:r>
      <w:r>
        <w:rPr>
          <w:rFonts w:hint="eastAsia"/>
        </w:rPr>
        <w:t>入场要求。</w:t>
      </w:r>
    </w:p>
    <w:p w14:paraId="6AD3BAAC">
      <w:pPr>
        <w:pStyle w:val="165"/>
      </w:pPr>
      <w:r>
        <w:rPr>
          <w:rFonts w:hint="eastAsia"/>
        </w:rPr>
        <w:t>采用钢筋混凝土外壳与柔性人工衬层组合的刚性结构及其四周侧墙防渗系统结构，应符合G</w:t>
      </w:r>
      <w:r>
        <w:t>B18598</w:t>
      </w:r>
      <w:r>
        <w:rPr>
          <w:rFonts w:hint="eastAsia"/>
        </w:rPr>
        <w:t>及H</w:t>
      </w:r>
      <w:r>
        <w:t>J2042</w:t>
      </w:r>
      <w:r>
        <w:rPr>
          <w:rFonts w:hint="eastAsia"/>
        </w:rPr>
        <w:t>要求。</w:t>
      </w:r>
    </w:p>
    <w:p w14:paraId="43FA5C4E">
      <w:pPr>
        <w:pStyle w:val="105"/>
        <w:spacing w:before="156" w:after="156"/>
      </w:pPr>
      <w:bookmarkStart w:id="64" w:name="_Toc162950408"/>
      <w:r>
        <w:rPr>
          <w:rFonts w:hint="eastAsia"/>
        </w:rPr>
        <w:t>封场要求</w:t>
      </w:r>
      <w:bookmarkEnd w:id="64"/>
    </w:p>
    <w:p w14:paraId="7B968807">
      <w:pPr>
        <w:pStyle w:val="165"/>
      </w:pPr>
      <w:r>
        <w:rPr>
          <w:rFonts w:hint="eastAsia"/>
        </w:rPr>
        <w:t>填埋场达到设计库容后，应根据实际填埋废物特性及分布位置完善突发环境事件应急预案，应包括可能发生的自然灾害及渗漏事故等场景的应急处置措施。</w:t>
      </w:r>
    </w:p>
    <w:p w14:paraId="3587938F">
      <w:pPr>
        <w:pStyle w:val="165"/>
      </w:pPr>
      <w:r>
        <w:rPr>
          <w:rFonts w:hint="eastAsia"/>
        </w:rPr>
        <w:t>填埋场达到设计库容后，应按照G</w:t>
      </w:r>
      <w:r>
        <w:t>B18598</w:t>
      </w:r>
      <w:r>
        <w:rPr>
          <w:rFonts w:hint="eastAsia"/>
        </w:rPr>
        <w:t>要求进行封场、维护和监测，继续监测渗滤液、地下水、地表水和土壤的变化，发现异常后及时启动应急预案进行处理。</w:t>
      </w:r>
    </w:p>
    <w:p w14:paraId="7C6298F3">
      <w:pPr>
        <w:pStyle w:val="104"/>
        <w:spacing w:before="312" w:after="312"/>
      </w:pPr>
      <w:bookmarkStart w:id="65" w:name="_Toc162950409"/>
      <w:r>
        <w:rPr>
          <w:rFonts w:hint="eastAsia"/>
        </w:rPr>
        <w:t>运行管理</w:t>
      </w:r>
      <w:bookmarkEnd w:id="65"/>
    </w:p>
    <w:p w14:paraId="3D5BB191">
      <w:pPr>
        <w:pStyle w:val="105"/>
        <w:spacing w:before="156" w:after="156"/>
      </w:pPr>
      <w:bookmarkStart w:id="66" w:name="_Toc162950410"/>
      <w:r>
        <w:rPr>
          <w:rFonts w:hint="eastAsia"/>
        </w:rPr>
        <w:t>一般要求</w:t>
      </w:r>
      <w:bookmarkEnd w:id="66"/>
    </w:p>
    <w:p w14:paraId="11467A98">
      <w:pPr>
        <w:pStyle w:val="165"/>
      </w:pPr>
      <w:r>
        <w:rPr>
          <w:rFonts w:hint="eastAsia"/>
        </w:rPr>
        <w:t>应具有完备的保障危险废物经营活动的规章制度和劳动保护措施，建立规范的管理和技术人员培训制度，并定期开展相关培训。</w:t>
      </w:r>
    </w:p>
    <w:p w14:paraId="013CEB71">
      <w:pPr>
        <w:pStyle w:val="165"/>
      </w:pPr>
      <w:r>
        <w:rPr>
          <w:rFonts w:hint="eastAsia"/>
        </w:rPr>
        <w:t>应建立危险废物经营情况记录簿，如实记载危险废物的种类、数量、性质、产生环节、流向、贮存、利用与处置等信息，并在省级危险废物监管物联网系统中如实规范申报。申报数据应与经营情况记录簿、管理计划数据相一致。</w:t>
      </w:r>
    </w:p>
    <w:p w14:paraId="0E43CD7C">
      <w:pPr>
        <w:pStyle w:val="165"/>
      </w:pPr>
      <w:r>
        <w:rPr>
          <w:rFonts w:hint="eastAsia"/>
        </w:rPr>
        <w:t>危险废物转移应采用电子联单，并建立电子档案。</w:t>
      </w:r>
    </w:p>
    <w:p w14:paraId="75A022D3">
      <w:pPr>
        <w:pStyle w:val="165"/>
      </w:pPr>
      <w:r>
        <w:rPr>
          <w:rFonts w:hint="eastAsia"/>
        </w:rPr>
        <w:t>应建设危险废物全流程智能管理平台，在危险废物入厂、贮存、利用与处置等环节安装视频监控设备，复核危险废物综合利用与处置设施规范化、信息化、智能化相关管理要求。</w:t>
      </w:r>
    </w:p>
    <w:p w14:paraId="265AE4D0">
      <w:pPr>
        <w:pStyle w:val="165"/>
      </w:pPr>
      <w:r>
        <w:rPr>
          <w:rFonts w:hint="eastAsia"/>
        </w:rPr>
        <w:t>应按照H</w:t>
      </w:r>
      <w:r>
        <w:t>J2042</w:t>
      </w:r>
      <w:r>
        <w:rPr>
          <w:rFonts w:hint="eastAsia"/>
        </w:rPr>
        <w:t>及《危险废物经营单位编制应急预案指南》的要求编制应急预案，并定期开展应急演练。</w:t>
      </w:r>
    </w:p>
    <w:p w14:paraId="6DE7544A">
      <w:pPr>
        <w:pStyle w:val="105"/>
        <w:spacing w:before="156" w:after="156"/>
      </w:pPr>
      <w:bookmarkStart w:id="67" w:name="_Toc162950411"/>
      <w:r>
        <w:rPr>
          <w:rFonts w:hint="eastAsia"/>
        </w:rPr>
        <w:t>监测要求</w:t>
      </w:r>
      <w:bookmarkEnd w:id="67"/>
    </w:p>
    <w:p w14:paraId="46B715F0">
      <w:pPr>
        <w:pStyle w:val="165"/>
      </w:pPr>
      <w:r>
        <w:rPr>
          <w:rFonts w:hint="eastAsia"/>
        </w:rPr>
        <w:t>应按照H</w:t>
      </w:r>
      <w:r>
        <w:t>J</w:t>
      </w:r>
      <w:r>
        <w:rPr>
          <w:rFonts w:hint="eastAsia"/>
        </w:rPr>
        <w:t xml:space="preserve"> </w:t>
      </w:r>
      <w:r>
        <w:t>819</w:t>
      </w:r>
      <w:r>
        <w:rPr>
          <w:rFonts w:hint="eastAsia"/>
        </w:rPr>
        <w:t>、G</w:t>
      </w:r>
      <w:r>
        <w:t>B</w:t>
      </w:r>
      <w:r>
        <w:rPr>
          <w:rFonts w:hint="eastAsia"/>
        </w:rPr>
        <w:t xml:space="preserve"> </w:t>
      </w:r>
      <w:r>
        <w:t>18484</w:t>
      </w:r>
      <w:r>
        <w:rPr>
          <w:rFonts w:hint="eastAsia"/>
        </w:rPr>
        <w:t>及G</w:t>
      </w:r>
      <w:r>
        <w:t>B</w:t>
      </w:r>
      <w:r>
        <w:rPr>
          <w:rFonts w:hint="eastAsia"/>
        </w:rPr>
        <w:t xml:space="preserve"> </w:t>
      </w:r>
      <w:r>
        <w:t>18598</w:t>
      </w:r>
      <w:r>
        <w:rPr>
          <w:rFonts w:hint="eastAsia"/>
        </w:rPr>
        <w:t>中监测指标、监测频次等要求编制自行监测方案，并开展自行监测。</w:t>
      </w:r>
    </w:p>
    <w:p w14:paraId="090C00F1">
      <w:pPr>
        <w:pStyle w:val="165"/>
      </w:pPr>
      <w:r>
        <w:rPr>
          <w:rFonts w:hint="eastAsia"/>
        </w:rPr>
        <w:t>应定期对场址和设施周边的大气、土壤、地表水和地下水等进行采样监测，以判断利用与处置过程是否对大气、土壤、地表水和地下水造成二次污染。</w:t>
      </w:r>
    </w:p>
    <w:p w14:paraId="6B971D65">
      <w:pPr>
        <w:pStyle w:val="105"/>
        <w:spacing w:before="156" w:after="156"/>
      </w:pPr>
      <w:bookmarkStart w:id="68" w:name="_Toc162950412"/>
      <w:r>
        <w:rPr>
          <w:rFonts w:hint="eastAsia"/>
        </w:rPr>
        <w:t>信息公开要求</w:t>
      </w:r>
      <w:bookmarkEnd w:id="68"/>
    </w:p>
    <w:p w14:paraId="650BCFFE">
      <w:pPr>
        <w:pStyle w:val="165"/>
      </w:pPr>
      <w:r>
        <w:rPr>
          <w:rFonts w:hint="eastAsia"/>
        </w:rPr>
        <w:t>应定期在厂区对外公布的信息栏或官方网站公开危险废物综合利用与处置情况、监测结果等相关信息。</w:t>
      </w:r>
    </w:p>
    <w:p w14:paraId="1230B02B">
      <w:pPr>
        <w:pStyle w:val="165"/>
      </w:pPr>
      <w:r>
        <w:rPr>
          <w:rFonts w:hint="eastAsia"/>
        </w:rPr>
        <w:t>焚烧设施及综合利用过程产生的烟气应按G</w:t>
      </w:r>
      <w:r>
        <w:t>B</w:t>
      </w:r>
      <w:r>
        <w:rPr>
          <w:rFonts w:hint="eastAsia"/>
        </w:rPr>
        <w:t xml:space="preserve"> </w:t>
      </w:r>
      <w:r>
        <w:t>18484</w:t>
      </w:r>
      <w:r>
        <w:rPr>
          <w:rFonts w:hint="eastAsia"/>
        </w:rPr>
        <w:t>相关要求开展主要污染物在线监测，符合属地生态环境主管部门联网要求，并安装电子显示面板进行动态公示。</w:t>
      </w:r>
    </w:p>
    <w:p w14:paraId="58D8D45E">
      <w:pPr>
        <w:pStyle w:val="165"/>
      </w:pPr>
      <w:r>
        <w:rPr>
          <w:rFonts w:hint="eastAsia"/>
        </w:rPr>
        <w:t>每年应定期向社会发布企业年度环境报告。</w:t>
      </w:r>
    </w:p>
    <w:bookmarkEnd w:id="24"/>
    <w:p w14:paraId="0040BB4C">
      <w:pPr>
        <w:pStyle w:val="56"/>
        <w:ind w:firstLine="0" w:firstLineChars="0"/>
        <w:jc w:val="cente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225C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8381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519A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A508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6494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0E48">
    <w:pPr>
      <w:pStyle w:val="61"/>
    </w:pPr>
    <w:r>
      <w:fldChar w:fldCharType="begin"/>
    </w:r>
    <w:r>
      <w:instrText xml:space="preserve"> STYLEREF  标准文件_文件编号  \* MERGEFORMAT </w:instrText>
    </w:r>
    <w:r>
      <w:fldChar w:fldCharType="separate"/>
    </w:r>
    <w:r>
      <w:t>DB 42/T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A351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attachedTemplate r:id="rId1"/>
  <w:documentProtection w:edit="forms" w:enforcement="1" w:cryptProviderType="rsaAES" w:cryptAlgorithmClass="hash" w:cryptAlgorithmType="typeAny" w:cryptAlgorithmSid="14" w:cryptSpinCount="100000" w:hash="49CB/oYoAvARYVhKmvfa2X2FwXnv6oAe/aMTopCe+m4S2mDP7xxWbC5CTrIZ1L/8OgFvNbFX3sLkEs48iiGwOQ==" w:salt="aXzZflv3CJjCZ8XeQqfzk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hM2RkMzFkNGUwYWNjOGYyNzljNDYxNmU0OGZkN2UifQ=="/>
  </w:docVars>
  <w:rsids>
    <w:rsidRoot w:val="0039034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5F81"/>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98B"/>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E5"/>
    <w:rsid w:val="000E4C9E"/>
    <w:rsid w:val="000E5921"/>
    <w:rsid w:val="000E6FD7"/>
    <w:rsid w:val="000F06E1"/>
    <w:rsid w:val="000F0E3C"/>
    <w:rsid w:val="000F19D5"/>
    <w:rsid w:val="000F4AEA"/>
    <w:rsid w:val="000F633F"/>
    <w:rsid w:val="000F67E9"/>
    <w:rsid w:val="00100748"/>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E98"/>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B1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BA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13D"/>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EE7"/>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42"/>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5E28"/>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F78"/>
    <w:rsid w:val="003F3F08"/>
    <w:rsid w:val="003F49F1"/>
    <w:rsid w:val="003F6272"/>
    <w:rsid w:val="00400E72"/>
    <w:rsid w:val="00401400"/>
    <w:rsid w:val="00404869"/>
    <w:rsid w:val="00405884"/>
    <w:rsid w:val="00407D39"/>
    <w:rsid w:val="00407EA5"/>
    <w:rsid w:val="00411177"/>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5FF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C0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843"/>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3DB"/>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D43"/>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34A"/>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27A"/>
    <w:rsid w:val="006B54BF"/>
    <w:rsid w:val="006B5F44"/>
    <w:rsid w:val="006B5F90"/>
    <w:rsid w:val="006B62E4"/>
    <w:rsid w:val="006C1BBA"/>
    <w:rsid w:val="006C2079"/>
    <w:rsid w:val="006C5A62"/>
    <w:rsid w:val="006C5D68"/>
    <w:rsid w:val="006C6976"/>
    <w:rsid w:val="006C6DD0"/>
    <w:rsid w:val="006C7B29"/>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F74"/>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30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57F7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3DB"/>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DBB"/>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B97"/>
    <w:rsid w:val="00A14C8E"/>
    <w:rsid w:val="00A153D9"/>
    <w:rsid w:val="00A15F09"/>
    <w:rsid w:val="00A169B6"/>
    <w:rsid w:val="00A2271D"/>
    <w:rsid w:val="00A237D5"/>
    <w:rsid w:val="00A30EFC"/>
    <w:rsid w:val="00A31984"/>
    <w:rsid w:val="00A32D73"/>
    <w:rsid w:val="00A3367B"/>
    <w:rsid w:val="00A34C1E"/>
    <w:rsid w:val="00A3597D"/>
    <w:rsid w:val="00A36DD1"/>
    <w:rsid w:val="00A4006C"/>
    <w:rsid w:val="00A40091"/>
    <w:rsid w:val="00A4030F"/>
    <w:rsid w:val="00A41C79"/>
    <w:rsid w:val="00A41CB5"/>
    <w:rsid w:val="00A42CDF"/>
    <w:rsid w:val="00A4452E"/>
    <w:rsid w:val="00A4472C"/>
    <w:rsid w:val="00A44E69"/>
    <w:rsid w:val="00A4661E"/>
    <w:rsid w:val="00A53E70"/>
    <w:rsid w:val="00A55BD6"/>
    <w:rsid w:val="00A55D50"/>
    <w:rsid w:val="00A57142"/>
    <w:rsid w:val="00A648CD"/>
    <w:rsid w:val="00A6537A"/>
    <w:rsid w:val="00A67866"/>
    <w:rsid w:val="00A70B07"/>
    <w:rsid w:val="00A723F8"/>
    <w:rsid w:val="00A730E5"/>
    <w:rsid w:val="00A77CCB"/>
    <w:rsid w:val="00A83D8D"/>
    <w:rsid w:val="00A8446B"/>
    <w:rsid w:val="00A8473F"/>
    <w:rsid w:val="00A862D6"/>
    <w:rsid w:val="00A8715E"/>
    <w:rsid w:val="00A923C2"/>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AB4"/>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4A45"/>
    <w:rsid w:val="00BC5DC7"/>
    <w:rsid w:val="00BC6B8B"/>
    <w:rsid w:val="00BC73D8"/>
    <w:rsid w:val="00BD52D7"/>
    <w:rsid w:val="00BD5AD2"/>
    <w:rsid w:val="00BD7539"/>
    <w:rsid w:val="00BE22F3"/>
    <w:rsid w:val="00BE5B52"/>
    <w:rsid w:val="00BE7B8D"/>
    <w:rsid w:val="00BF0993"/>
    <w:rsid w:val="00BF10A9"/>
    <w:rsid w:val="00BF1703"/>
    <w:rsid w:val="00BF231C"/>
    <w:rsid w:val="00BF51E5"/>
    <w:rsid w:val="00BF74A6"/>
    <w:rsid w:val="00C00789"/>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5F1"/>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771"/>
    <w:rsid w:val="00C94DF2"/>
    <w:rsid w:val="00C96741"/>
    <w:rsid w:val="00C97070"/>
    <w:rsid w:val="00CA2D1B"/>
    <w:rsid w:val="00CA375D"/>
    <w:rsid w:val="00CA662A"/>
    <w:rsid w:val="00CA7255"/>
    <w:rsid w:val="00CA7AFD"/>
    <w:rsid w:val="00CA7C3C"/>
    <w:rsid w:val="00CB0189"/>
    <w:rsid w:val="00CB0BA2"/>
    <w:rsid w:val="00CB1A42"/>
    <w:rsid w:val="00CB1B0C"/>
    <w:rsid w:val="00CB254B"/>
    <w:rsid w:val="00CB2C0B"/>
    <w:rsid w:val="00CB517D"/>
    <w:rsid w:val="00CB533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FB2"/>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AED"/>
    <w:rsid w:val="00D51BF3"/>
    <w:rsid w:val="00D66846"/>
    <w:rsid w:val="00D675FB"/>
    <w:rsid w:val="00D71F25"/>
    <w:rsid w:val="00D72A9C"/>
    <w:rsid w:val="00D77031"/>
    <w:rsid w:val="00D8396D"/>
    <w:rsid w:val="00D84941"/>
    <w:rsid w:val="00D84FA1"/>
    <w:rsid w:val="00D851F0"/>
    <w:rsid w:val="00D86DB7"/>
    <w:rsid w:val="00D9221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D6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006"/>
    <w:rsid w:val="00F95248"/>
    <w:rsid w:val="00F956A9"/>
    <w:rsid w:val="00F963ED"/>
    <w:rsid w:val="00F966CF"/>
    <w:rsid w:val="00F96CAE"/>
    <w:rsid w:val="00F97C99"/>
    <w:rsid w:val="00FA4DAC"/>
    <w:rsid w:val="00FA662D"/>
    <w:rsid w:val="00FA73B1"/>
    <w:rsid w:val="00FB0CB9"/>
    <w:rsid w:val="00FB231D"/>
    <w:rsid w:val="00FB2411"/>
    <w:rsid w:val="00FB45F1"/>
    <w:rsid w:val="00FB4A72"/>
    <w:rsid w:val="00FB54E8"/>
    <w:rsid w:val="00FB7054"/>
    <w:rsid w:val="00FC17B7"/>
    <w:rsid w:val="00FC2CB7"/>
    <w:rsid w:val="00FC4090"/>
    <w:rsid w:val="00FC55B4"/>
    <w:rsid w:val="00FD00E6"/>
    <w:rsid w:val="00FD09A1"/>
    <w:rsid w:val="00FD295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2644F"/>
    <w:rsid w:val="0160084E"/>
    <w:rsid w:val="019E4ED3"/>
    <w:rsid w:val="024D60F1"/>
    <w:rsid w:val="028E4F47"/>
    <w:rsid w:val="03004097"/>
    <w:rsid w:val="0410030A"/>
    <w:rsid w:val="044E603E"/>
    <w:rsid w:val="04F72FE3"/>
    <w:rsid w:val="05110B82"/>
    <w:rsid w:val="05145BD8"/>
    <w:rsid w:val="05427F03"/>
    <w:rsid w:val="064F395C"/>
    <w:rsid w:val="069F5975"/>
    <w:rsid w:val="07F24D15"/>
    <w:rsid w:val="08493F82"/>
    <w:rsid w:val="098A290C"/>
    <w:rsid w:val="09BB20BA"/>
    <w:rsid w:val="0A1B5312"/>
    <w:rsid w:val="0A4F1460"/>
    <w:rsid w:val="0ACC2AB1"/>
    <w:rsid w:val="0B1D155E"/>
    <w:rsid w:val="0B536D2E"/>
    <w:rsid w:val="0BAA1044"/>
    <w:rsid w:val="0C4871A4"/>
    <w:rsid w:val="0D352B8F"/>
    <w:rsid w:val="0E705852"/>
    <w:rsid w:val="0FED59A3"/>
    <w:rsid w:val="101E1220"/>
    <w:rsid w:val="10B77D5F"/>
    <w:rsid w:val="10C61D50"/>
    <w:rsid w:val="10DB790E"/>
    <w:rsid w:val="119F296B"/>
    <w:rsid w:val="12176D07"/>
    <w:rsid w:val="12273A03"/>
    <w:rsid w:val="12B661BE"/>
    <w:rsid w:val="140266D8"/>
    <w:rsid w:val="15D92FF5"/>
    <w:rsid w:val="15FA6724"/>
    <w:rsid w:val="16223ECC"/>
    <w:rsid w:val="165878EE"/>
    <w:rsid w:val="178C784F"/>
    <w:rsid w:val="17E40B5A"/>
    <w:rsid w:val="188624F1"/>
    <w:rsid w:val="19AA66B3"/>
    <w:rsid w:val="1A02029D"/>
    <w:rsid w:val="1B0E4A1F"/>
    <w:rsid w:val="1B1C49C5"/>
    <w:rsid w:val="1B1F4E7E"/>
    <w:rsid w:val="1B4F12C0"/>
    <w:rsid w:val="1B886580"/>
    <w:rsid w:val="1BA452A5"/>
    <w:rsid w:val="1CDA2E0B"/>
    <w:rsid w:val="1DF4614E"/>
    <w:rsid w:val="1E522E75"/>
    <w:rsid w:val="1E9D0594"/>
    <w:rsid w:val="1ED766AD"/>
    <w:rsid w:val="1FCC7AC2"/>
    <w:rsid w:val="208C52B4"/>
    <w:rsid w:val="212A1E87"/>
    <w:rsid w:val="21383A83"/>
    <w:rsid w:val="22883146"/>
    <w:rsid w:val="233426A1"/>
    <w:rsid w:val="23963804"/>
    <w:rsid w:val="23F84985"/>
    <w:rsid w:val="241537B8"/>
    <w:rsid w:val="24572F93"/>
    <w:rsid w:val="2457724C"/>
    <w:rsid w:val="24FD1D8D"/>
    <w:rsid w:val="2504136D"/>
    <w:rsid w:val="25641E0C"/>
    <w:rsid w:val="26705EF4"/>
    <w:rsid w:val="26C54B2C"/>
    <w:rsid w:val="27895B59"/>
    <w:rsid w:val="279664C8"/>
    <w:rsid w:val="283D6877"/>
    <w:rsid w:val="284E28FF"/>
    <w:rsid w:val="288E0F4E"/>
    <w:rsid w:val="28B408FB"/>
    <w:rsid w:val="29114058"/>
    <w:rsid w:val="29785E86"/>
    <w:rsid w:val="29930F11"/>
    <w:rsid w:val="2A81520E"/>
    <w:rsid w:val="2AE31A25"/>
    <w:rsid w:val="2B3E6C5B"/>
    <w:rsid w:val="2C7E7C57"/>
    <w:rsid w:val="2CA43435"/>
    <w:rsid w:val="2CF471CC"/>
    <w:rsid w:val="2DBD47AF"/>
    <w:rsid w:val="2E0F48DF"/>
    <w:rsid w:val="2E47051C"/>
    <w:rsid w:val="2EBA484A"/>
    <w:rsid w:val="2EC97183"/>
    <w:rsid w:val="2F4A2072"/>
    <w:rsid w:val="300B6927"/>
    <w:rsid w:val="30DE3DAC"/>
    <w:rsid w:val="318F7624"/>
    <w:rsid w:val="320C360F"/>
    <w:rsid w:val="32364B30"/>
    <w:rsid w:val="329931FF"/>
    <w:rsid w:val="33E34843"/>
    <w:rsid w:val="33E950F4"/>
    <w:rsid w:val="34A4182B"/>
    <w:rsid w:val="34A55F9D"/>
    <w:rsid w:val="35A26038"/>
    <w:rsid w:val="35B66829"/>
    <w:rsid w:val="35BB76F2"/>
    <w:rsid w:val="3699743B"/>
    <w:rsid w:val="36C06412"/>
    <w:rsid w:val="374D686F"/>
    <w:rsid w:val="37732382"/>
    <w:rsid w:val="383C2774"/>
    <w:rsid w:val="38AB6BD4"/>
    <w:rsid w:val="38B95B73"/>
    <w:rsid w:val="3A28454F"/>
    <w:rsid w:val="3B497682"/>
    <w:rsid w:val="3B893F22"/>
    <w:rsid w:val="3BED2703"/>
    <w:rsid w:val="3C64600E"/>
    <w:rsid w:val="3C834E15"/>
    <w:rsid w:val="3CAE75B3"/>
    <w:rsid w:val="3E2972F7"/>
    <w:rsid w:val="3E9C21BE"/>
    <w:rsid w:val="3EC2309F"/>
    <w:rsid w:val="3F656A54"/>
    <w:rsid w:val="3F8769CB"/>
    <w:rsid w:val="3FB700A1"/>
    <w:rsid w:val="3FBB0422"/>
    <w:rsid w:val="3FEC2A77"/>
    <w:rsid w:val="3FF35E0E"/>
    <w:rsid w:val="411F4210"/>
    <w:rsid w:val="41C757A4"/>
    <w:rsid w:val="41D675E0"/>
    <w:rsid w:val="437110F6"/>
    <w:rsid w:val="43B6162D"/>
    <w:rsid w:val="4447054F"/>
    <w:rsid w:val="451E392D"/>
    <w:rsid w:val="4541114C"/>
    <w:rsid w:val="45BD0F5F"/>
    <w:rsid w:val="465B470D"/>
    <w:rsid w:val="467A1037"/>
    <w:rsid w:val="479E6FA7"/>
    <w:rsid w:val="480C2163"/>
    <w:rsid w:val="48FD1AAC"/>
    <w:rsid w:val="493F0316"/>
    <w:rsid w:val="49816180"/>
    <w:rsid w:val="4A3B6D2F"/>
    <w:rsid w:val="4B392101"/>
    <w:rsid w:val="4B775B45"/>
    <w:rsid w:val="4BD034A7"/>
    <w:rsid w:val="4C6C6FA4"/>
    <w:rsid w:val="4CB06BBA"/>
    <w:rsid w:val="4DA70238"/>
    <w:rsid w:val="4E670C7C"/>
    <w:rsid w:val="4EBD5F65"/>
    <w:rsid w:val="4EEF633A"/>
    <w:rsid w:val="4F1D2EA8"/>
    <w:rsid w:val="4F993B7C"/>
    <w:rsid w:val="4FE64F8F"/>
    <w:rsid w:val="510B175B"/>
    <w:rsid w:val="517A013D"/>
    <w:rsid w:val="51A90A23"/>
    <w:rsid w:val="51FB4947"/>
    <w:rsid w:val="52372C70"/>
    <w:rsid w:val="52400C54"/>
    <w:rsid w:val="52412A09"/>
    <w:rsid w:val="52A511EA"/>
    <w:rsid w:val="53397B84"/>
    <w:rsid w:val="53A831A1"/>
    <w:rsid w:val="53AC0356"/>
    <w:rsid w:val="54A43723"/>
    <w:rsid w:val="54D53F3B"/>
    <w:rsid w:val="54EB3100"/>
    <w:rsid w:val="55855303"/>
    <w:rsid w:val="56264337"/>
    <w:rsid w:val="56671056"/>
    <w:rsid w:val="5693565A"/>
    <w:rsid w:val="571F7479"/>
    <w:rsid w:val="59352AE3"/>
    <w:rsid w:val="5953386A"/>
    <w:rsid w:val="59550FA6"/>
    <w:rsid w:val="599D70BF"/>
    <w:rsid w:val="5A032C9A"/>
    <w:rsid w:val="5AA6158B"/>
    <w:rsid w:val="5AA91257"/>
    <w:rsid w:val="5B8147BE"/>
    <w:rsid w:val="5B864E83"/>
    <w:rsid w:val="5BCD17B1"/>
    <w:rsid w:val="5C1C79E2"/>
    <w:rsid w:val="5C6E4D42"/>
    <w:rsid w:val="5DD45079"/>
    <w:rsid w:val="5E2F02F2"/>
    <w:rsid w:val="5EC155FD"/>
    <w:rsid w:val="5EF878B0"/>
    <w:rsid w:val="5F434264"/>
    <w:rsid w:val="5F5574FF"/>
    <w:rsid w:val="60114363"/>
    <w:rsid w:val="60353A09"/>
    <w:rsid w:val="61CF0031"/>
    <w:rsid w:val="61E83289"/>
    <w:rsid w:val="6248001A"/>
    <w:rsid w:val="627B5AC3"/>
    <w:rsid w:val="62981BC5"/>
    <w:rsid w:val="63715118"/>
    <w:rsid w:val="63C811DC"/>
    <w:rsid w:val="63CD67F3"/>
    <w:rsid w:val="63D01E3F"/>
    <w:rsid w:val="63D47B81"/>
    <w:rsid w:val="642D2050"/>
    <w:rsid w:val="64AF414A"/>
    <w:rsid w:val="653A7EB8"/>
    <w:rsid w:val="66F978FF"/>
    <w:rsid w:val="67DF4C9F"/>
    <w:rsid w:val="67F20679"/>
    <w:rsid w:val="68AA0EB0"/>
    <w:rsid w:val="6931113D"/>
    <w:rsid w:val="69E55F18"/>
    <w:rsid w:val="6AC63F9C"/>
    <w:rsid w:val="6BF95CAB"/>
    <w:rsid w:val="6C97174C"/>
    <w:rsid w:val="6CA64085"/>
    <w:rsid w:val="6CB73AE3"/>
    <w:rsid w:val="6D0D4104"/>
    <w:rsid w:val="6D632886"/>
    <w:rsid w:val="6DA55808"/>
    <w:rsid w:val="6DDF6A64"/>
    <w:rsid w:val="6E7855AD"/>
    <w:rsid w:val="6EDE3DAD"/>
    <w:rsid w:val="6F436776"/>
    <w:rsid w:val="6F6840AB"/>
    <w:rsid w:val="6F863CF9"/>
    <w:rsid w:val="70875F7B"/>
    <w:rsid w:val="70C42D2B"/>
    <w:rsid w:val="717209D9"/>
    <w:rsid w:val="718E0D4C"/>
    <w:rsid w:val="71C3469E"/>
    <w:rsid w:val="72343EE1"/>
    <w:rsid w:val="72F53ED4"/>
    <w:rsid w:val="753366D1"/>
    <w:rsid w:val="7544606F"/>
    <w:rsid w:val="764364A0"/>
    <w:rsid w:val="764773DA"/>
    <w:rsid w:val="76856AB9"/>
    <w:rsid w:val="771D3195"/>
    <w:rsid w:val="775C3CBE"/>
    <w:rsid w:val="776867C7"/>
    <w:rsid w:val="77D00208"/>
    <w:rsid w:val="78372035"/>
    <w:rsid w:val="78EC2E1F"/>
    <w:rsid w:val="79390690"/>
    <w:rsid w:val="795C58D6"/>
    <w:rsid w:val="79F503F9"/>
    <w:rsid w:val="7A634721"/>
    <w:rsid w:val="7A8D0C7E"/>
    <w:rsid w:val="7ABC4A73"/>
    <w:rsid w:val="7B0A57DF"/>
    <w:rsid w:val="7B2D1921"/>
    <w:rsid w:val="7B4E6013"/>
    <w:rsid w:val="7B583591"/>
    <w:rsid w:val="7BE57DD3"/>
    <w:rsid w:val="7C1E38D5"/>
    <w:rsid w:val="7C7859A7"/>
    <w:rsid w:val="7CA11519"/>
    <w:rsid w:val="7CBE0F77"/>
    <w:rsid w:val="7D3D0F15"/>
    <w:rsid w:val="7EB42631"/>
    <w:rsid w:val="7F785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95F38094901417AADBC5C47A88C498B"/>
        <w:style w:val=""/>
        <w:category>
          <w:name w:val="常规"/>
          <w:gallery w:val="placeholder"/>
        </w:category>
        <w:types>
          <w:type w:val="bbPlcHdr"/>
        </w:types>
        <w:behaviors>
          <w:behavior w:val="content"/>
        </w:behaviors>
        <w:description w:val=""/>
        <w:guid w:val="{6FB5317A-BE17-45B8-8752-778DADBECAD3}"/>
      </w:docPartPr>
      <w:docPartBody>
        <w:p w14:paraId="53027D6C">
          <w:pPr>
            <w:pStyle w:val="5"/>
          </w:pPr>
          <w:r>
            <w:rPr>
              <w:rStyle w:val="4"/>
              <w:rFonts w:hint="eastAsia"/>
            </w:rPr>
            <w:t>单击或点击此处输入文字。</w:t>
          </w:r>
        </w:p>
      </w:docPartBody>
    </w:docPart>
    <w:docPart>
      <w:docPartPr>
        <w:name w:val="58673D131DC149F4BD18A8361097DF20"/>
        <w:style w:val=""/>
        <w:category>
          <w:name w:val="常规"/>
          <w:gallery w:val="placeholder"/>
        </w:category>
        <w:types>
          <w:type w:val="bbPlcHdr"/>
        </w:types>
        <w:behaviors>
          <w:behavior w:val="content"/>
        </w:behaviors>
        <w:description w:val=""/>
        <w:guid w:val="{6736353F-9E2B-41DD-A001-645A2DB830CE}"/>
      </w:docPartPr>
      <w:docPartBody>
        <w:p w14:paraId="4196D767">
          <w:pPr>
            <w:pStyle w:val="6"/>
          </w:pPr>
          <w:r>
            <w:rPr>
              <w:rStyle w:val="4"/>
              <w:rFonts w:hint="eastAsia"/>
            </w:rPr>
            <w:t>选择一项。</w:t>
          </w:r>
        </w:p>
      </w:docPartBody>
    </w:docPart>
    <w:docPart>
      <w:docPartPr>
        <w:name w:val="7C1598672BA1439CB1ACABC5FEB88905"/>
        <w:style w:val=""/>
        <w:category>
          <w:name w:val="常规"/>
          <w:gallery w:val="placeholder"/>
        </w:category>
        <w:types>
          <w:type w:val="bbPlcHdr"/>
        </w:types>
        <w:behaviors>
          <w:behavior w:val="content"/>
        </w:behaviors>
        <w:description w:val=""/>
        <w:guid w:val="{5E7BB352-0066-44DD-AF57-406B067EC230}"/>
      </w:docPartPr>
      <w:docPartBody>
        <w:p w14:paraId="3BA978B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103"/>
    <w:rsid w:val="002A307C"/>
    <w:rsid w:val="00422469"/>
    <w:rsid w:val="0081323E"/>
    <w:rsid w:val="00A66FB3"/>
    <w:rsid w:val="00B67B6A"/>
    <w:rsid w:val="00C34103"/>
    <w:rsid w:val="00C45446"/>
    <w:rsid w:val="00D40963"/>
    <w:rsid w:val="00D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95F38094901417AADBC5C47A88C498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8673D131DC149F4BD18A8361097DF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C1598672BA1439CB1ACABC5FEB8890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E6FDDB-FCF6-4476-A1F3-C562C8C4E31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5718</Words>
  <Characters>6367</Characters>
  <Lines>60</Lines>
  <Paragraphs>16</Paragraphs>
  <TotalTime>0</TotalTime>
  <ScaleCrop>false</ScaleCrop>
  <LinksUpToDate>false</LinksUpToDate>
  <CharactersWithSpaces>6540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2024-04-02T01:04:00Z</dcterms:created>
  <dc:creator>gyb1</dc:creator>
  <dc:description>&lt;config cover="true" show_menu="true" version="1.0.0" doctype="SDKXY"&gt;_x000d_
&lt;/config&gt;</dc:description>
  <cp:lastModifiedBy>金海林</cp:lastModifiedBy>
  <cp:lastPrinted>2020-08-30T10:00:00Z</cp:lastPrinted>
  <dcterms:modified xsi:type="dcterms:W3CDTF">2025-08-29T02:53:19Z</dcterms:modified>
  <dc:title>地方标准</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903A0D23A3DF41B8B3988F5899A8FDBB_12</vt:lpwstr>
  </property>
  <property fmtid="{D5CDD505-2E9C-101B-9397-08002B2CF9AE}" pid="16" name="KSOTemplateDocerSaveRecord">
    <vt:lpwstr>eyJoZGlkIjoiNWFlYjc1YTA5ZWE1MDNjZWYyZjgzNTNiYzkyNmJiMmIiLCJ1c2VySWQiOiI0NDYyODA2MzIifQ==</vt:lpwstr>
  </property>
</Properties>
</file>